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简体" w:eastAsia="方正小标宋简体"/>
          <w:sz w:val="44"/>
          <w:szCs w:val="44"/>
        </w:rPr>
      </w:pPr>
    </w:p>
    <w:p>
      <w:pPr>
        <w:widowControl/>
        <w:numPr>
          <w:ilvl w:val="0"/>
          <w:numId w:val="1"/>
        </w:numPr>
        <w:jc w:val="left"/>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国家标准</w:t>
      </w:r>
    </w:p>
    <w:tbl>
      <w:tblPr>
        <w:tblStyle w:val="10"/>
        <w:tblW w:w="14704"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28" w:type="dxa"/>
          <w:left w:w="108" w:type="dxa"/>
          <w:bottom w:w="28" w:type="dxa"/>
          <w:right w:w="108" w:type="dxa"/>
        </w:tblCellMar>
      </w:tblPr>
      <w:tblGrid>
        <w:gridCol w:w="702"/>
        <w:gridCol w:w="1984"/>
        <w:gridCol w:w="8787"/>
        <w:gridCol w:w="1984"/>
        <w:gridCol w:w="1247"/>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tblHeader/>
          <w:jc w:val="center"/>
        </w:trPr>
        <w:tc>
          <w:tcPr>
            <w:tcW w:w="702"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序列</w:t>
            </w:r>
          </w:p>
        </w:tc>
        <w:tc>
          <w:tcPr>
            <w:tcW w:w="1984"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国家标准编号</w:t>
            </w:r>
          </w:p>
        </w:tc>
        <w:tc>
          <w:tcPr>
            <w:tcW w:w="8787"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国  家  标  准  名  称</w:t>
            </w:r>
          </w:p>
        </w:tc>
        <w:tc>
          <w:tcPr>
            <w:tcW w:w="1984"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代替标准号</w:t>
            </w:r>
          </w:p>
        </w:tc>
        <w:tc>
          <w:tcPr>
            <w:tcW w:w="1247"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实施日期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tcBorders>
              <w:top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w:t>
            </w:r>
          </w:p>
        </w:tc>
        <w:tc>
          <w:tcPr>
            <w:tcW w:w="1984"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14034.1-2023</w:t>
            </w:r>
          </w:p>
        </w:tc>
        <w:tc>
          <w:tcPr>
            <w:tcW w:w="8787"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液压传动连接  金属管接头  第1部分：24°锥形</w:t>
            </w:r>
          </w:p>
        </w:tc>
        <w:tc>
          <w:tcPr>
            <w:tcW w:w="1984"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14034.1-2010</w:t>
            </w:r>
          </w:p>
        </w:tc>
        <w:tc>
          <w:tcPr>
            <w:tcW w:w="1247"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28782.1-2023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液压传动  测量技术  第1部分:通则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28782.2-2023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液压传动  测量技术  第2部分：密闭回路中平均稳态压力的测量</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28782.2-2012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26163.2-2023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信息与文献 文件（档案）管理元数据 第2部分：概念化及实施</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信息与文献 参与者名称标识符</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信息与文献    国家科技重大专项档案元数据元素集</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信息与文献 可信的第三方数字文件（档案）仓储</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23981.2-2023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色漆和清漆 遮盖力的测定 第2部分：黑白格板法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1726-1979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10000-2023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中国成年人人体尺寸</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10000-1988,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 xml:space="preserve"> GB/T 13547-1992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15759-2023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人体模板设计和使用要求</w:t>
            </w:r>
          </w:p>
        </w:tc>
        <w:tc>
          <w:tcPr>
            <w:tcW w:w="1984" w:type="dxa"/>
            <w:noWrap w:val="0"/>
            <w:vAlign w:val="center"/>
          </w:tcPr>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14779-1993,</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15759-1995</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16252-2023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成年人手部尺寸分型</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16252-1996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22188.4-2023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控制中心的人类工效学设计  第4部分：工作站的布局和尺寸</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40261.1-2023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热环境的人类工效学  交通工具内热环境评价  第1部分:热应激评估原理与方法和等效温度测定</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力学损伤测试用中国假人设计原则与标定方法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人类工效学 静态工作姿势评估</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成年人三维足部模型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热环境的人类工效学 人体冷热应激评估与管理</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10593.2-2023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电工电子产品环境参数测量方法 第2部分：盐雾</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10593.2-2012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5482-2023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金属材料 动态撕裂试验方法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5482-2007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10671-2023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固体材料产烟的比光密度试验方法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10671-2008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5758-2023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离子交换树脂粒度、有效粒径和均一系数的测定方法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5758-2001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氯乙烯均聚物和共聚物 氯含量的测定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7139-2002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33061.4-2023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动态力学性能的测定 第4部分: 非共振拉伸振动法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33061.5-2023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动态力学性能的测定 第5部分：非共振弯曲振动法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46"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33061.6-2023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动态力学性能的测定 第6部分：非共振剪切振动法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81"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33061.7-2023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动态力学性能的测定 第7部分: 非共振扭转振动法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19"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42790-2023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丙烯酸共聚聚氯乙烯树脂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33"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消光制品用聚氯乙烯树脂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74"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42918.1-2023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模塑和挤出用热塑性聚氨酯  第1部分：命名系统和分类基础</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46"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42919.1-2023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导热系数和热扩散系数的测定 第1部分:通则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514"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42919.3-2023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导热系数和热扩散系数的测定 第3部分：温度波分析法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42919.4-2023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导热系数和热扩散系数的测定 第4部分:激光闪光法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42919.6-2023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导热系数和热扩散系数的测定 第6部分：基于温度调制技术的比较法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纤维增强塑料复合材料耐火特性和防火性能的评定</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有机溶剂可萃取物的测定 化学方法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42924.1-2023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烟雾产生  燃烧流腐蚀性的测定 第1部分:通用术语和应用</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42924.4-2023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烟雾产生  燃烧流腐蚀性的测定 第4部分:使用锥形腐蚀计的动态分解法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6473-2023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立式外拉床 精度检验</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6473-1996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14660.1-2023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数控立式坐标镗床 第1部分：精度检验</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14660-1993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17421.1-2023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机床检验通则 第1部分：在无负荷或准静态条件下机床的几何精度</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17421.1-1998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17421.2-2023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机床检验通则 第2部分：数控轴线的定位精度和重复定位精度的确定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17421.2-2016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20138-2023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电器设备外壳对外界机械碰撞的防护等级（IK代码）</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20138-2006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29314-2023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电动机系统节能改造规范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29314-2012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8291-2023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胶乳  凝块含量（筛余物）的测定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8291-2008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6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14796-2023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天然生胶  颜色指数测定法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14796-2008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19"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22461.1-2023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表面化学分析  词汇  第1部分：通用术语及谱学术语</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22461-2008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614"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42658.4-2023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表面化学分析  样品处理、制备和安装指南  第4部分: 报告表面分析前纳米物体相关的来历、制备、处理和安装信息</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表面化学分析 扫描探针显微术 采用扫描探针显微镜测定几何量：测量系统校准</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玻璃纤维增强塑料制品 纤维长度的测定</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53"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26176-2023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家用和类似用途豆浆机</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26176-2010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26185-2023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快热式电热水器</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26185-2010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家用和类似用途的交流换气扇及其调速器 性能测试方法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13021-2023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聚烯烃管材和管件 炭黑含量的测定  煅烧和热解法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13021-1991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日用防护聚乙烯手套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流体输送用热塑性塑料管材  尺寸和公差   第1部分：公制系列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应急药材包装要求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10095.2-2023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圆柱齿轮  ISO齿面公差分级制  第2部分：径向综合偏差的定义和允许值</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10095.2-2008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17879-2023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齿轮  磨削后表面回火的化学浸蚀检验</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17879-1999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纤维增强聚合物的声发射检测方法和评价准则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声发射检测  混凝土声发射信号的测试方法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在役汽轮机叶片超声检测和评价方法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10001.8-2023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公共信息图形符号  第8部分：行为指示符号</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16903.2-2023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标志用图形符号表示规则  第2部分：公共信息图形符号的通用符号要素</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10001.10-2014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603-2023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试验方法中所用制剂及制品的制备</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603-2002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649-2023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溴化钾</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649-1999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六水合硝酸锌（硝酸锌）</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667-1995</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硝酸锶</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669-1994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乙醇（无水乙醇）</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678-2002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684-2023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甲苯</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684-1999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686-2023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丙酮</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686-2008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1270-2023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六水合氯化钴（氯化钴）</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1270-1996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9722-2023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化学试剂 气相色谱法通则</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9722-2006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29344-2023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灵芝孢子粉采收及加工技术规范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29344-2012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15092.2-2023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器具开关 第2-1部分：软线开关的特殊要求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15092.2-2014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15092.4-2023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器具开关 第2-4部分：独立安装开关的特殊要求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15092.4-2006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7232-2023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金属热处理 术语</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7232-2012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8381.3-2023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饲料中林可胺类药物的测定 液相色谱-串联质谱法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8381.3-2005</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13093-2023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饲料中细菌总数的测定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13093-2006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13882-2023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饲料中碘的测定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13882-2010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13883-2023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饲料中硒的测定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13883-2008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14699-2023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  采样</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14699.1-2005</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22260-2023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饲料中蛋白质同化激素的测定 液相色谱-串联质谱法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22260-2008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饲料中泰乐菌素、泰万菌素、替米考星的测定 液相色谱-串联质谱法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氨基酸产品和添加剂预混合饲料中赖氨酸、蛋氨酸和苏氨酸含量的测定</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饲料微生物检验 采样</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微波电路 电调衰减器测试方法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半导体集成电路 片上系统（SoC）</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微波半导体集成电路 混频器</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微波半导体集成电路 放大器</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半导体集成电路 霍尔电路测试方法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半导体集成电路 模拟数字（AD）转换器</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半导体集成电路 直接数字频率合成器测试方法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29193-2023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国际贸易术语解释通则缩写代码</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29193-2012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19831.3-2023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石油天然气工业 套管扶正器  第3部分：刚性和半刚性扶正器</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27668-2023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显微镜 光学显微术术语</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27668.1-2011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显微镜 数字成像显示显微镜 提供给用户的成像性能信息</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10510-2023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硝酸磷肥、硝酸磷钾肥</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10510-2007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连作障碍土壤改良通用技术规范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5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农产品产地土壤改良剂使用技术规范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08"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农产品产地重金属污染土壤钝化通用技术规程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42828.1-2023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盐碱地改良通用技术 第1部分：铁尾砂改良</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42828.2-2023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盐碱地改良通用技术 第2部分：稻田池塘渔农改良</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42828.3-2023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盐碱地改良通用技术 第3部分：生物改良</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肥料中植物生长调节剂的测定 气相色谱-质谱联用法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肥料中总氮含量的测定 杜马斯燃烧法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肥料产品使用说明编写指南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数码照相机 拍摄时滞、快门时滞、拍摄速度和开机时间的测量</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15000.5-2023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标准样品工作导则 第5部分：质量控制样品的内部研制</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15969.10-2023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可编程序控制器 第10部分：PLC的XML开放交互格式</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18659-2023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封闭管道中流体流量的测量 电磁流量计使用指南</w:t>
            </w:r>
          </w:p>
        </w:tc>
        <w:tc>
          <w:tcPr>
            <w:tcW w:w="1984" w:type="dxa"/>
            <w:noWrap w:val="0"/>
            <w:vAlign w:val="center"/>
          </w:tcPr>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18659-2002,</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18660-2002,</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20729-2006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20818.13-2023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工业过程测量和控制 过程设备目录中的数据结构和元素  第13部分：压力测量设备电子数据交换用属性列表（LOP）</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20818.14-2023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工业过程测量和控制 过程设备目录中的数据结构和元素  第14部分：温度测量设备电子数据交换用属性列表(LOP)</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20818.15-2023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工业过程测量和控制 过程设备目录中的数据结构和元素  第15部分：物位测量设备电子数据交换用属性列表(LOPs)</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25922-2023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封闭管道中流体流量的测量 用安装在充满流体的圆形截面管道中的涡街流量计测量流量</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25922-2010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油气管道安全仪表系统的功能安全 运行维护要求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13217.7-2023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油墨附着力检验方法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13217.7-2009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1653-2023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邻、对硝基氯苯</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1653-2013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21888-2023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C.I.酸性红131（酸性艳红P-9B 150%）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21888-2008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纺织染整助剂产品中有机卤素含量的测定</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4795-2023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船用舱底水处理装置</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4795-2009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10833-2023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船用生活污水处理系统技术条件</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10833-2015</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12918-2023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油船排油监控系统技术条件</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12918-2009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34033.3-2023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船舶与海上技术 船舶防污底系统风险评估 第3部分：船用防污底涂料应用和去除过程中防污活性物质的人体健康风险评估方法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42798-2023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船舶生活污水收集系统</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42799-2023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船舶与海洋技术 航行及浅水工程船 起锚绞车</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船舶中水回用处理装置技术条件</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26174-2023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厨房纸巾</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26174-2010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纸浆模塑制品技术通则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纸、纸板和纸制品  有效回收组分的测定</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纸浆 细小纤维质量分数的测定</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普通图像印刷纸的稳定性要求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23220.1-2023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烟叶储存保管方法  第1部分：原烟</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23220-2008[部]</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23220.2-2023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烟叶储存保管方法  第2部分：片烟</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23220-2008[代完]</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机械产品三维模型简化与轻量化要求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24437-2023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假肢、矫形器配置机构的等级划分与评定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24437-2009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41170.1-2023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造口辅助器具的皮肤保护用品  试验方法  第1部分：尺寸、表面pH值和吸水性</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图示符号交流板的设计原则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42818.1-2023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认知无障碍  第1部分：一般指南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29327-2023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1000kV电抗器保护装置技术要求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29327-2012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3564-2023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自行车部件分类、名称和主要术语</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3564-1993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电动滑板车通用技术规范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贝类包纳米虫病诊断方法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26716-2023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钟表  防磁手表</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26716-2011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电波钟 信号接收测试方法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手表机心的可靠性试验方法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计时仪器  硬材料制造的手表外观件  一般要求和试验方法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气溶胶颗粒数量浓度  凝结核颗粒计数器的校准</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67"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5357-2023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内六角花形扳手</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5357-1998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24748-2023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往复式内燃机 飞轮 技术条件</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24748-2009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29636-2023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疑似毒品中甲基苯丙胺检验</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29636-2013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42429-2023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法庭科学 发射药中有机成分检验 液相色谱-质谱法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血液、尿液中乙醇、甲醇、正丙醇、丙酮、异丙醇和正丁醇检验</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35964-2023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证券及相关金融工具 金融工具分类（CFI）编码</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35964-2018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金融网络安全威胁信息共享指南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证券期货业数据安全风险防控 数据分类分级指引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基于文本数据的金融风险防控 知识图谱构建技术框架指南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债券价格指标产品描述规范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互联网金融 个人网络消费信贷 信息披露</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金融信息系统网络安全风险评估规范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金融行业开源软件测评规范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互联网金融智能风险防控技术要求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互联网金融 个人身份识别技术要求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中兽医基本术语</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12274.401-2023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有质量评定的石英晶体振荡器  第4-1部分：空白详细规范   能力批准</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27700.1-2023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有质量评定的声表面波滤波器  第1部分 ：总规范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27700.1-2011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承压设备用钢板和钢带  第1部分：一般要求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承压设备用钢板和钢带  第2部分：规定温度性能的非合金钢和合金钢</w:t>
            </w:r>
          </w:p>
        </w:tc>
        <w:tc>
          <w:tcPr>
            <w:tcW w:w="1984" w:type="dxa"/>
            <w:noWrap w:val="0"/>
            <w:vAlign w:val="center"/>
          </w:tcPr>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713-2014,</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35012-2018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承压设备用钢板和钢带  第3部分：规定低温性能的低合金钢</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3531-2014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9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承压设备用钢板和钢带  第4部分：规定低温性能的镍合金钢</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24510-2017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承压设备用钢板和钢带  第5部分：规定低温性能的高锰钢</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承压设备用钢板和钢带  第6部分：调质高强度钢</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19189-2011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713.7-2023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承压设备用钢板和钢带  第7部分：不锈钢和耐热钢</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24511-2017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5224-2023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预应力混凝土用钢绞线</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5224-2014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5776-2023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金属和合金的腐蚀  金属和合金在表层海水中暴露和评定的导则</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5776-2005</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17899-2023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金属和合金的腐蚀  不锈钢在氯化钠溶液中点蚀电位的动电位测量方法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17899-1999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20490-2023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钢管无损检测  无缝和焊接钢管分层缺欠的自动超声检测</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20490-2006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20564.13-2023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汽车用高强度冷连轧钢板及钢带  第13部分：中锰钢</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20564.14-2023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汽车用高强度冷连轧钢板及钢带  第14部分：低密度钢</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24179-2023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金属材料  残余应力测定  压痕应变法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24179-2009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24187-2023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冷拔精密单层焊接钢管</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24187-2009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25821-2023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不锈钢钢绞线</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25821-2010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28415-2023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耐火结构用钢板和钢带</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28415-2012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34215-2023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电动汽车驱动电机用冷轧无取向电工钢带（片）</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34215-2017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金属和合金的腐蚀  模拟海洋环境中钢筋应力腐蚀敏感性试验方法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钢管无损检测 焊接钢管用钢带/钢板分层缺欠的自动超声检测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钢铁行业水足迹评价要求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钢管无损检测 焊接钢管焊缝纵向和/或横向缺欠的自动超声检测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原油船货油舱用耐腐蚀球扁钢</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炭素材料洛氏硬度测定方法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炭素材料表面粗糙度试验方法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金属和合金的腐蚀 表层海水暴露试验环境因素监测方法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钢管无损检测 铁磁性无缝和焊接钢管表面缺欠的磁粉检测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钢管无损检测 无缝和焊接钢管表面缺欠的液体渗透检测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石油天然气工程用热轧型钢</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轴承钢盘条</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42795-2023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高应变海洋油气输送管用钢板</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42796-2023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钢筋机械连接件</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海洋工程结构钢可焊性试验方法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金属材料 高应变速率高温压缩试验方法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钢筋机械连接件试验方法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金属材料 蠕变裂纹及蠕变-疲劳裂纹扩展速率测定方法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金属和合金的腐蚀 海水管路动水腐蚀试验</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石墨材料 当量硼含量的测定 电感耦合等离子体原子发射光谱法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金属和合金的腐蚀  金属材料在静态浸入熔盐或其他液体条件下的高温腐蚀试验方法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金属和合金的腐蚀  金属材料嵌入在盐、灰烬或其他固体中的高温腐蚀试验方法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无线终端设备用导电胶粘带</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无机胶粘剂高温压缩剪切强度试验方法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2988-2023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高铝砖</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2988-2012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17601-2023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耐火材料 耐酸性试验方法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17601-2008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连续纤维增强陶瓷基复合材料高温压缩性能试验方法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多孔陶瓷球形压痕强度试验方法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精细陶瓷室温等双轴弯曲强度试验方法  双环法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13476-2023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先张法预应力混凝土管桩</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13476-2009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1553-2023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硅和锗体内少数载流子寿命的测定  光电导衰减法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1553-2009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1555-2023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半导体单晶晶向测定方法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1555-2009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6616-2023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半导体晶片电阻率及半导体薄膜薄层电阻的测试  非接触涡流法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6616-2009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24582-2023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多晶硅表面金属杂质含量测定  酸浸取-电感耦合等离子体质谱法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24582-2009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29057-2023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用区熔拉晶法和光谱分析法评价多晶硅棒的规程</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29057-2012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30652-2023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硅外延用三氯氢硅</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30652-2014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34213-2023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蓝宝石单晶用高纯氧化铝</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34213-2017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35306-2023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硅单晶中碳、氧含量的测定  低温傅立叶变换红外光谱法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35306-2017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35307-2023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流化床法颗粒硅</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35307-2017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半导体单晶晶体质量的测试  X射线衍射法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电子特气  六氯乙硅烷</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电子特气  一氧化氮</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硅片表面光泽度的测试方法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碳化硅外延片表面缺陷的测试  激光散射法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碳化硅外延层厚度的测试  红外反射法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42907-2023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硅锭、硅块和硅片中非平衡载流子复合寿命的测试 非接触涡流感应法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2910.12-2023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定量化学分析 第12部分：聚丙烯腈纤维、某些改性聚丙烯腈纤维、某些含氯纤维或某些聚氨酯弹性纤维与某些其他纤维的混合物（二甲基甲酰胺法）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2910.12-2009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17640-2023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土工合成材料 长丝机织土工布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17640-2008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18887-2023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土工合成材料  机织/非织造复合土工布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18887-2002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42699.2-2023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某些动物毛纤维蛋白质组定性和定量分析 第2部分：还原蛋白质多肽分析基质辅助激光解吸电离飞行时间质谱（MALDI-TOF-MS）法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汽车内饰用纺织材料 肖伯尔耐磨试验方法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29863-2023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服装制图</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29863-2013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24716-2023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公路沿线设施太阳能供电系统通用技术规范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24716-2009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20147.3-2023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色度学 第3部分：CIE三刺激值</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20147.4-2023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色度学 第4部分：CIE 1976 L* a* b*颜色空间</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20150-2023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红斑基准作用光谱及标准红斑剂量</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20150-2006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应急照明</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5905.1-2023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起重机  检验与试验规范  第1部分：通则</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5905-2011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15677-2023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金属镧及镧粉</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15677-2010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29918-2023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稀土系储氢合金   压力-组成等温线（PCI）的测试方法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29918-2013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稀土系储氢合金  吸放氢反应动力学性能测试方法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钐铁氮粘结永磁粉</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42707.1-2023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数控机床远程运维 第1部分：通用要求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469-2023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铅锭</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469-2013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铜及铜合金扁线</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3114-2010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3251-2023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铝及铝合金产品压缩试验方法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3251-2006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3620.2-2023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钛及钛合金加工产品化学成分允许偏差</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3620.2-2007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钛及钛合金无缝管</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3624-2010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3884.12-2023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铜精矿化学分析方法 第12部分：氟和氯含量的测定 离子色谱法和电位滴定法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3884.12-2010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3884.18-2023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铜精矿化学分析方法 第18部分：砷、锑、铋、铅、锌、镍、镉、钴、铬、氧化铝、氧化镁、氧化钙含量的测定 电感耦合等离子体原子发射光谱法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3884.18-2014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5166-2023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烧结金属材料和硬质合金弹性模量的测定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5166-1998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5246-2023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电解铜粉</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5246-2007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钨精矿化学分析方法  第4部分：硫含量的测定  高频感应红外吸收法和燃烧-碘量法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6150.4-2008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钨精矿化学分析方法  第6部分：湿存水含量的测定  重量法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6150.6-2008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钨精矿化学分析方法  第8部分：钼含量的测定  硫氰酸盐分光光度法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6150.8-2009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6150.10-2023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钨精矿化学分析方法  第10部分：铅含量的测定  氢化物发生原子荧光光谱法和火焰原子吸收光谱法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6150.10-2008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钨精矿化学分析方法  第12部分：二氧化硅含量的测定  硅钼蓝分光光度法和重量法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6150.12-2008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钨精矿化学分析方法  第15部分：铋含量的测定  氢化物发生原子荧光光谱法和火焰原子吸收光谱法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6150.15-2008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6609.25-2023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氧化铝化学分析方法和物理性能测定方法 第25部分：松装和振实密度的测定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6609.25-2004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6609.27-2023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氧化铝化学分析方法和物理性能测定方法 第27部分：粒度分析 筛分法</w:t>
            </w:r>
          </w:p>
        </w:tc>
        <w:tc>
          <w:tcPr>
            <w:tcW w:w="1984" w:type="dxa"/>
            <w:noWrap w:val="0"/>
            <w:vAlign w:val="center"/>
          </w:tcPr>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6609.27-2009,</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6609.28-2004,</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6609.37-2009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6609.35-2023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氧化铝化学分析方法和物理性能测定方法 第35部分：比表面积的测定 氮吸附法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6609.35-2009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8151.26-2023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锌精矿化学分析方法 第 26 部分：银含量的测定 酸溶解-火焰原子吸收光谱法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8180-2023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钛及钛合金加工产品的包装、标志、运输和贮存</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8180-2007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11064.9-2023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碳酸锂、单水氢氧化锂、氯化锂化学分析方法  第9部分：硫酸根含量的测定  硫酸钡浊度法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11064.9-2013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11064.16-2023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碳酸锂、单水氢氧化锂、氯化锂化学分析方法  第16部分：钙、镁、铜、铅、锌、镍、锰、镉、铝、铁、硫酸根含量的测定  电感耦合等离子体原子发射光谱法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11064.16-2013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16475-2023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变形铝及铝合金产品状态代号</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16475-2008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16865-2023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变形铝、镁及其合金加工制品拉伸试验用试样及方法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16865-2013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22638.11-2023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铝箔试验方法 第11部分：力学性能的测试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22648-2023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铝塑复合软管、电池软包用铝箔</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22648-2008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23271-2023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二硫化钼</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23271-2009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23609-2023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海水淡化装置用铜合金无缝管</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23609-2009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23611-2023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金及金合金靶材</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23611-2009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26038-2023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钨基高比重合金板材</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26038-2010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26053-2023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碳化物基热喷涂粉</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26053-2010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26063-2023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铍铝合金</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26063-2010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26725-2023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超细碳化钨粉</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26725-2011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27683-2023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铜及铜合金切削屑料及其回收规范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27683-2011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铜及铜合金海水冲刷腐蚀试验方法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增材制造用高熵合金粉</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铝合金产品断裂韧度试验方法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铜精矿及主要含铜物料鉴别规范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铝及铝合金产品标识</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12956-2023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卫生间配套设备要求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12956-2008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23447-2023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卫生洁具  淋浴用花洒</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23447-2009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化学品 新西兰泥蜗（Potamopyrgus antipodarum）繁殖试验</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化学品 蜜蜂（Apis mellifera L.）慢性经口毒性试验（10天饲喂法）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17928-2023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皮革 物理和机械试验 针孔撕裂强度的测定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17928-1999</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皮革 色牢度试验 旋转摩擦色牢度</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42950-2023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皮革 色牢度试验 耐唾液色牢度</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35274-2023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大数据服务安全能力要求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35274-2017</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移动互联网应用程序（App）生命周期安全管理指南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机器学习算法安全评估规范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27000-2023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合格评定 词汇和通用原则</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27000-2006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27021.12-2023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合格评定  管理体系审核认证机构要求  第12部分：协作业务关系管理体系审核与认证能力要求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25198-2023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压力容器封头</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25198-2010</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热交换器及传热元件性能测试方法 第2部分：热交换器</w:t>
            </w:r>
          </w:p>
        </w:tc>
        <w:tc>
          <w:tcPr>
            <w:tcW w:w="1984" w:type="dxa"/>
            <w:noWrap w:val="0"/>
            <w:vAlign w:val="center"/>
          </w:tcPr>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27698.2-2011,</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27698.3-2011,</w:t>
            </w:r>
            <w:r>
              <w:rPr>
                <w:rFonts w:hint="eastAsia" w:ascii="Times New Roman" w:hAnsi="Times New Roman" w:eastAsia="仿宋_GB2312" w:cs="Times New Roman"/>
                <w:i w:val="0"/>
                <w:color w:val="000000"/>
                <w:kern w:val="0"/>
                <w:sz w:val="20"/>
                <w:szCs w:val="20"/>
                <w:u w:val="none"/>
                <w:lang w:val="en-US" w:eastAsia="zh-CN" w:bidi="ar"/>
              </w:rPr>
              <w:t xml:space="preserve"> </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27698.4-2011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28712.4-2023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热交换器型式与基本参数 第4部分：热虹吸式重沸器</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28712.4-2012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28712.5-2023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热交换器型式与基本参数 第5部分：螺旋板式热交换器</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28712.5-2012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28712.6-2023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热交换器型式与基本参数 第6部分：空冷式热交换器</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28712.6-2012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7251.1-2023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低压成套开关设备和控制设备 第1部分：总则</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7251.1-2013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7251.2-2023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低压成套开关设备和控制设备 第2部分：成套电力开关和控制设备</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7251.12-2013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逆向物流服务良好行为规范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纳米技术 水相中无机纳米颗粒的尺寸分布和浓度测量 单颗粒电感耦合等离子体质谱法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纳米科技 术语 纳米酶</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42629.4-2023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国际海底区域和公海环境调查规程 第4部分：海洋沉积物物理特性调查</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氢燃料电池车辆加注协议技术要求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变压吸附提纯氢气系统安全要求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27914-2023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风险管理  法律风险管理指南</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27914-2011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27921-2023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风险管理   风险评估技术</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27921-2011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6730.84-2023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 稀土总量的测定 电感耦合等离子体原子发射光谱法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6730.85-2023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 化学分析用有证标准样品的制备和定值</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6730.86-2023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 放射性核素的测定 电感耦合等离子体质谱法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6730.87-2023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 全铁及其他多元素含量的测定 波长色散X射线荧光光谱法（钴内标法）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10322.1-2023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 取样和制样方法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10322.1-2014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42794-2023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镍铁  碳、硫、硅、磷、镍、钴、铬和铜含量的测定 火花源原子发射光谱法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26947-2023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步行式托盘搬运车</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26947-2011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27543-2023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步行式升降平台搬运车</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27543-2011</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微机电系统（MEMS）技术 硅基MEMS微结构弯曲强度试验方法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微机电系统（MEMS）技术 硅基MEMS纳尺度结构冲击试验方法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微机电系统（MEMS）技术 硅基MEMS纳米厚度膜抗拉强度试验方法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财经信息技术 财政预算管理软件审计数据接口</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42847.2-2023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储能系统用可逆模式燃料电池模块 第2部分：可逆模式质子交换膜单池与电堆性能测试方法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项目管理敏捷化指南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气象数据服务接口规范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耐蚀合金连续油管</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液化天然气的取样设施及取样性能检验</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20705-2023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可可液块及可可饼块质量要求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20705-2006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20706-2023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可可粉质量要求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20706-2006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20899.15-2023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金矿石化学分析方法  第15部分：铜、铅、锌、银、铁、锰、镍、钴、铝、铬、镉、锑、铋、砷、汞、硒、钡和铍含量的测定  电感耦合等离子体质谱法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杯壶类产品通用技术要求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12971.1-2023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电力牵引用接触线  第1部分：铜及铜合金接触线</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12971.1-2008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12971.2-2023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电力牵引用接触线   第2部分：钢铝复合接触线</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12971.2-2008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空间环境  非金属材料空间辐射效应地面模拟方法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航天产品质量问题三个面向分析方法实施要求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运载火箭运输通用要求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航天器通用试验方法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光学功能薄膜 微结构厚度测试方法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光学功能薄膜 聚对苯二甲酸乙二醇酯（PET）薄膜 保护膜黏着力测定方法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凸头鼓包型抽芯铆钉</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1275MPaMJ螺纹螺栓</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1517MPaMJ螺纹螺栓</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民用飞机维修技术数据规范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民用飞机飞行运行技术数据规范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民用飞机客户培训飞行模拟机通用技术规范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42856-2023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民用大中型无人直升机系统飞行性能飞行试验要求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鼓包型抽芯铆钉通用规范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民用大中型无人直升机飞行控制系统通用要求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服务业用水定额 第1部分：游泳场所</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煤化工废水处理与回用技术导则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42867-2023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煤矿预排水综合利用技术导则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31958-2023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非晶硅薄膜晶体管液晶显示器用基板玻璃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31958-2015</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玻璃高温黏度试验方法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红外光学玻璃红外折射率温度系数测试方法 垂直入射法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42666-2023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电子染料液晶调光玻璃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智能玻璃术语</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28638-2023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城镇供热管道保温结构散热损失测试与保温效果评定方法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28638-2012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快件高铁运输信息交换规范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量子保密通信应用基本要求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基于LTE技术的宽带集群通信（B-TrunC）系统 接口技术要求（第二阶段） TCF与eHSS间接口</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基于LTE技术的宽带集群通信（B-TrunC）系统 接口技术要求（第二阶段） TCF间接口</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基于公用电信网的宽带客户网络联网技术要求 多入多出（MIMO）的通用介质有线联网</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30523-2023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科技资源核心元数据</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30523-2014</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数据论文出版元数据</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16984-2023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大麻原麻</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16984-2008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美术用品中初级芳香胺的测定方法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42941.1-2023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运动护具 搏击运动护具 第1部分：通用要求与试验方法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32842-2023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城市公共自行车交通服务规范</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32842-2016</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28561-2023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船舶电气设备 自动化、控制和测量仪表</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28561-2012</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38329.3-2023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港口船岸连接 第3部分：低压岸电连接(LVSC)系统 一般要求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船舶与海洋技术 导航和船舶营运 船用电话设备指南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城市公共设施 城市家具 术语</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城市公共设施服务 城市家具 系统建设实施评价规范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城市公共设施 城市家具 分类</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城市公共设施 城市家具 系统建设指南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42878-2023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人工影响天气  地面作业空域申请和使用要求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42960-2023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生态保护红线划定与评估中气象因子计算方法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42961-2023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植被生态质量的气候变化影响评价方法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北斗星基增强系统空间信号接口规范 第1部分：单频增强服务信号BDSBAS-B1C</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北斗星基增强系统单频增强服务机载设备最低性能规范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22427.7-2023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淀粉黏度测定</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22427.7-2008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29490-2023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企业知识产权合规管理体系   要求</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29490-2013</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专利评估指引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41247-2023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电子商务直播售货质量管理规范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电子商务交易产品质量监测实施指南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城市和社区可持续发展 智慧可持续城市成熟度模型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城市和社区可持续发展 智慧城市运行模型 应对突发公共卫生事件的指南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42883-2023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智慧城市基础设施 评估和改善成熟度模型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多式联运货物分类与代码</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多式联运运载单元标识</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碳纤维增强复合材料 密封压力容器加速吸湿和过饱和调节方法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科技评估分类</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设施管理  基准比较分析指南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设施管理  信息化管理指南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设施管理  过程管理指南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道路交通资产管理体系实施指南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水文化遗产价值评价指南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资产管理 人员参与和能力指南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42842.2-2023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微细气泡技术 清洗应用 第2部分： 机加工金属零件表面机械油污清洗的试验方法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42843.1-2023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微细气泡技术 测量取样及样品制备 第1部分：超细气泡水分散体系</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微细气泡技术 超细气泡水分散体系的存储和运输</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42845.1-2023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微细气泡技术 微气泡的表征 第1部分：粒径指数的离线评估</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42939-2023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民族服饰生产性保护评估通则</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42823-2023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对位芳纶长丝</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38834.2-2023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机器人 服务机器人性能规范及其试验方法 第2部分：导航</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移动机器人 词汇</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42831-2023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导引服务机器人 通用技术条件</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9105-2023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眼镜镜片 光致变色镜片</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9105-1988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16411-2023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家用燃气燃烧器具的通用试验方法</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16411-2008</w:t>
            </w: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42786-2023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建筑遮阳热舒适、视觉舒适性能分级及检测方法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37977.21-2023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静电学 第2-1部分：试验方法 材料和产品静电荷消散能力</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37977.48-2023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静电学 第4-8部分：特定应用中的标准试验方法 静电放电屏蔽袋</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37977.51-2023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静电学 第5-1部分:电子器件的静电防护 通用要求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42709.19-2023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微电子机械器件 第19部分：电子罗盘</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锂离子电池组安全设计指南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42729-2023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锂离子电池和电池组安全使用指南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政府和社会资本合作 基础术语与模式分类</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政府和社会资本合作 咨询服务要求</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42965.1-2023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电子发票业务数据规范 第1部分：基本要素</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422</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42965.2-2023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电子发票业务数据规范 第2部分：特定要素</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423</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立体停车库无线供电系统 技术要求及测试规范</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424</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抗菌不锈钢焊接钢管及管件</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425</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42898-2023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建材产品中半挥发性有机化合物（SVOC）释放量的测试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426</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42885-2023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网络安全信息共享指南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427</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42840-2023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纳米技术 利用金黄色葡萄球菌释放的胞壁酸检测银纳米颗粒的效力</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428</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42964-2023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图书馆纸质文献脱酸工艺有效性评价方法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429</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42842.1-2023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微细气泡技术 清洗应用 第1部分：表面盐（氯化钠）污渍清洗的试验方法</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430</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42962-2023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产业帮扶  猪产业项目运营管理指南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02" w:type="dxa"/>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431</w:t>
            </w:r>
          </w:p>
        </w:tc>
        <w:tc>
          <w:tcPr>
            <w:tcW w:w="1984"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42963-2023</w:t>
            </w:r>
          </w:p>
        </w:tc>
        <w:tc>
          <w:tcPr>
            <w:tcW w:w="878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产业帮扶  竹产业项目运营管理指南</w:t>
            </w:r>
          </w:p>
        </w:tc>
        <w:tc>
          <w:tcPr>
            <w:tcW w:w="1984"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247"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2023-08-06</w:t>
            </w:r>
          </w:p>
        </w:tc>
      </w:tr>
    </w:tbl>
    <w:p>
      <w:pPr>
        <w:widowControl/>
        <w:numPr>
          <w:ilvl w:val="0"/>
          <w:numId w:val="2"/>
        </w:numPr>
        <w:jc w:val="left"/>
        <w:rPr>
          <w:rFonts w:hint="eastAsia" w:ascii="黑体" w:hAnsi="黑体" w:eastAsia="黑体" w:cs="Times New Roman"/>
          <w:sz w:val="32"/>
          <w:szCs w:val="32"/>
        </w:rPr>
      </w:pPr>
      <w:r>
        <w:rPr>
          <w:rFonts w:hint="eastAsia" w:ascii="黑体" w:hAnsi="黑体" w:eastAsia="黑体" w:cs="Times New Roman"/>
          <w:sz w:val="32"/>
          <w:szCs w:val="32"/>
        </w:rPr>
        <w:t>国家标准修改单</w:t>
      </w:r>
    </w:p>
    <w:tbl>
      <w:tblPr>
        <w:tblStyle w:val="10"/>
        <w:tblW w:w="13865"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2268"/>
        <w:gridCol w:w="7513"/>
        <w:gridCol w:w="1984"/>
        <w:gridCol w:w="139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序号</w:t>
            </w:r>
          </w:p>
        </w:tc>
        <w:tc>
          <w:tcPr>
            <w:tcW w:w="2268"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国家标准编号</w:t>
            </w:r>
          </w:p>
        </w:tc>
        <w:tc>
          <w:tcPr>
            <w:tcW w:w="7513"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w:t>
            </w:r>
            <w:r>
              <w:rPr>
                <w:rFonts w:hint="eastAsia" w:ascii="黑体" w:hAnsi="黑体" w:eastAsia="黑体" w:cs="黑体"/>
                <w:b w:val="0"/>
                <w:bCs w:val="0"/>
                <w:color w:val="000000"/>
                <w:kern w:val="0"/>
                <w:sz w:val="22"/>
                <w:lang w:eastAsia="zh-CN"/>
              </w:rPr>
              <w:t xml:space="preserve"> </w:t>
            </w:r>
            <w:r>
              <w:rPr>
                <w:rFonts w:hint="eastAsia" w:ascii="黑体" w:hAnsi="黑体" w:eastAsia="黑体" w:cs="黑体"/>
                <w:b w:val="0"/>
                <w:bCs w:val="0"/>
                <w:color w:val="000000"/>
                <w:kern w:val="0"/>
                <w:sz w:val="22"/>
              </w:rPr>
              <w:t>家</w:t>
            </w:r>
            <w:r>
              <w:rPr>
                <w:rFonts w:hint="eastAsia" w:ascii="黑体" w:hAnsi="黑体" w:eastAsia="黑体" w:cs="黑体"/>
                <w:b w:val="0"/>
                <w:bCs w:val="0"/>
                <w:color w:val="000000"/>
                <w:kern w:val="0"/>
                <w:sz w:val="22"/>
                <w:lang w:eastAsia="zh-CN"/>
              </w:rPr>
              <w:t xml:space="preserve"> </w:t>
            </w:r>
            <w:r>
              <w:rPr>
                <w:rFonts w:hint="eastAsia" w:ascii="黑体" w:hAnsi="黑体" w:eastAsia="黑体" w:cs="黑体"/>
                <w:b w:val="0"/>
                <w:bCs w:val="0"/>
                <w:color w:val="000000"/>
                <w:kern w:val="0"/>
                <w:sz w:val="22"/>
              </w:rPr>
              <w:t>标</w:t>
            </w:r>
            <w:r>
              <w:rPr>
                <w:rFonts w:hint="eastAsia" w:ascii="黑体" w:hAnsi="黑体" w:eastAsia="黑体" w:cs="黑体"/>
                <w:b w:val="0"/>
                <w:bCs w:val="0"/>
                <w:color w:val="000000"/>
                <w:kern w:val="0"/>
                <w:sz w:val="22"/>
                <w:lang w:eastAsia="zh-CN"/>
              </w:rPr>
              <w:t xml:space="preserve"> </w:t>
            </w:r>
            <w:r>
              <w:rPr>
                <w:rFonts w:hint="eastAsia" w:ascii="黑体" w:hAnsi="黑体" w:eastAsia="黑体" w:cs="黑体"/>
                <w:b w:val="0"/>
                <w:bCs w:val="0"/>
                <w:color w:val="000000"/>
                <w:kern w:val="0"/>
                <w:sz w:val="22"/>
              </w:rPr>
              <w:t>准</w:t>
            </w:r>
            <w:r>
              <w:rPr>
                <w:rFonts w:hint="eastAsia" w:ascii="黑体" w:hAnsi="黑体" w:eastAsia="黑体" w:cs="黑体"/>
                <w:b w:val="0"/>
                <w:bCs w:val="0"/>
                <w:color w:val="000000"/>
                <w:kern w:val="0"/>
                <w:sz w:val="22"/>
                <w:lang w:eastAsia="zh-CN"/>
              </w:rPr>
              <w:t xml:space="preserve"> </w:t>
            </w:r>
            <w:r>
              <w:rPr>
                <w:rFonts w:hint="eastAsia" w:ascii="黑体" w:hAnsi="黑体" w:eastAsia="黑体" w:cs="黑体"/>
                <w:b w:val="0"/>
                <w:bCs w:val="0"/>
                <w:color w:val="000000"/>
                <w:kern w:val="0"/>
                <w:sz w:val="22"/>
              </w:rPr>
              <w:t>名</w:t>
            </w:r>
            <w:r>
              <w:rPr>
                <w:rFonts w:hint="eastAsia" w:ascii="黑体" w:hAnsi="黑体" w:eastAsia="黑体" w:cs="黑体"/>
                <w:b w:val="0"/>
                <w:bCs w:val="0"/>
                <w:color w:val="000000"/>
                <w:kern w:val="0"/>
                <w:sz w:val="22"/>
                <w:lang w:eastAsia="zh-CN"/>
              </w:rPr>
              <w:t xml:space="preserve"> </w:t>
            </w:r>
            <w:r>
              <w:rPr>
                <w:rFonts w:hint="eastAsia" w:ascii="黑体" w:hAnsi="黑体" w:eastAsia="黑体" w:cs="黑体"/>
                <w:b w:val="0"/>
                <w:bCs w:val="0"/>
                <w:color w:val="000000"/>
                <w:kern w:val="0"/>
                <w:sz w:val="22"/>
              </w:rPr>
              <w:t>称</w:t>
            </w:r>
          </w:p>
        </w:tc>
        <w:tc>
          <w:tcPr>
            <w:tcW w:w="1984"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代替标准号</w:t>
            </w:r>
          </w:p>
        </w:tc>
        <w:tc>
          <w:tcPr>
            <w:tcW w:w="1396"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实施日期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1</w:t>
            </w:r>
          </w:p>
        </w:tc>
        <w:tc>
          <w:tcPr>
            <w:tcW w:w="2268" w:type="dxa"/>
            <w:tcBorders>
              <w:top w:val="nil"/>
              <w:left w:val="single" w:color="auto" w:sz="4" w:space="0"/>
              <w:bottom w:val="nil"/>
              <w:right w:val="single" w:color="auto"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GB/T 38880-2020</w:t>
            </w:r>
          </w:p>
        </w:tc>
        <w:tc>
          <w:tcPr>
            <w:tcW w:w="7513" w:type="dxa"/>
            <w:tcBorders>
              <w:top w:val="nil"/>
              <w:left w:val="single" w:color="auto" w:sz="4" w:space="0"/>
              <w:bottom w:val="nil"/>
              <w:right w:val="single" w:color="auto"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儿童口罩技术规范 《第1号修改单》</w:t>
            </w:r>
            <w:bookmarkStart w:id="0" w:name="_GoBack"/>
            <w:bookmarkEnd w:id="0"/>
          </w:p>
        </w:tc>
        <w:tc>
          <w:tcPr>
            <w:tcW w:w="1984" w:type="dxa"/>
            <w:tcBorders>
              <w:top w:val="nil"/>
              <w:left w:val="single" w:color="auto" w:sz="4" w:space="0"/>
              <w:bottom w:val="nil"/>
              <w:right w:val="single" w:color="auto" w:sz="4" w:space="0"/>
            </w:tcBorders>
            <w:noWrap w:val="0"/>
            <w:vAlign w:val="bottom"/>
          </w:tcPr>
          <w:p>
            <w:pPr>
              <w:rPr>
                <w:rFonts w:hint="default" w:ascii="Times New Roman" w:hAnsi="Times New Roman" w:eastAsia="仿宋_GB2312" w:cs="Times New Roman"/>
                <w:b w:val="0"/>
                <w:bCs w:val="0"/>
                <w:i w:val="0"/>
                <w:color w:val="000000"/>
                <w:kern w:val="0"/>
                <w:sz w:val="22"/>
                <w:szCs w:val="22"/>
                <w:u w:val="none"/>
                <w:lang w:val="en-US" w:eastAsia="zh-CN" w:bidi="ar"/>
              </w:rPr>
            </w:pPr>
          </w:p>
        </w:tc>
        <w:tc>
          <w:tcPr>
            <w:tcW w:w="1396" w:type="dxa"/>
            <w:tcBorders>
              <w:top w:val="nil"/>
              <w:left w:val="single" w:color="auto" w:sz="4" w:space="0"/>
              <w:bottom w:val="nil"/>
              <w:right w:val="single" w:color="auto"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2023-08-06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2</w:t>
            </w:r>
          </w:p>
        </w:tc>
        <w:tc>
          <w:tcPr>
            <w:tcW w:w="2268" w:type="dxa"/>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GB/T 12691-2021</w:t>
            </w:r>
          </w:p>
        </w:tc>
        <w:tc>
          <w:tcPr>
            <w:tcW w:w="7513" w:type="dxa"/>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空气压缩机油 《第1号修改单》</w:t>
            </w:r>
          </w:p>
        </w:tc>
        <w:tc>
          <w:tcPr>
            <w:tcW w:w="1984" w:type="dxa"/>
            <w:tcBorders>
              <w:top w:val="nil"/>
              <w:left w:val="single" w:color="auto" w:sz="4" w:space="0"/>
              <w:bottom w:val="single" w:color="auto" w:sz="4" w:space="0"/>
              <w:right w:val="single" w:color="auto" w:sz="4" w:space="0"/>
            </w:tcBorders>
            <w:noWrap w:val="0"/>
            <w:vAlign w:val="bottom"/>
          </w:tcPr>
          <w:p>
            <w:pPr>
              <w:rPr>
                <w:rFonts w:hint="default" w:ascii="Times New Roman" w:hAnsi="Times New Roman" w:eastAsia="仿宋_GB2312" w:cs="Times New Roman"/>
                <w:b w:val="0"/>
                <w:bCs w:val="0"/>
                <w:i w:val="0"/>
                <w:color w:val="000000"/>
                <w:kern w:val="0"/>
                <w:sz w:val="22"/>
                <w:szCs w:val="22"/>
                <w:u w:val="none"/>
                <w:lang w:val="en-US" w:eastAsia="zh-CN" w:bidi="ar"/>
              </w:rPr>
            </w:pPr>
          </w:p>
        </w:tc>
        <w:tc>
          <w:tcPr>
            <w:tcW w:w="1396" w:type="dxa"/>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b w:val="0"/>
                <w:bCs w:val="0"/>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0"/>
                <w:szCs w:val="20"/>
                <w:u w:val="none"/>
                <w:lang w:val="en-US" w:eastAsia="zh-CN" w:bidi="ar"/>
              </w:rPr>
              <w:t>2023-08-06</w:t>
            </w: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8"/>
          <w:szCs w:val="28"/>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方正小标宋简体" w:eastAsia="方正小标宋简体"/>
          <w:sz w:val="32"/>
          <w:szCs w:val="32"/>
        </w:rPr>
      </w:pPr>
      <w:r>
        <w:rPr>
          <w:rFonts w:hint="default" w:ascii="Times New Roman" w:hAnsi="Times New Roman" w:eastAsia="仿宋_GB2312" w:cs="Times New Roman"/>
          <w:sz w:val="28"/>
          <w:szCs w:val="28"/>
          <w:highlight w:val="none"/>
          <w:lang w:val="en-US" w:eastAsia="zh-CN"/>
        </w:rPr>
        <w:t>备注：</w:t>
      </w:r>
      <w:r>
        <w:rPr>
          <w:rFonts w:hint="default" w:ascii="Times New Roman" w:hAnsi="Times New Roman" w:eastAsia="仿宋_GB2312" w:cs="Times New Roman"/>
          <w:sz w:val="28"/>
          <w:szCs w:val="28"/>
          <w:lang w:val="en-US" w:eastAsia="zh-CN"/>
        </w:rPr>
        <w:t>20</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lang w:val="en-US" w:eastAsia="zh-CN"/>
        </w:rPr>
        <w:t>年第2号公告发布的《</w:t>
      </w:r>
      <w:r>
        <w:rPr>
          <w:rFonts w:hint="eastAsia" w:ascii="Times New Roman" w:hAnsi="Times New Roman" w:eastAsia="仿宋_GB2312" w:cs="Times New Roman"/>
          <w:sz w:val="28"/>
          <w:szCs w:val="28"/>
          <w:lang w:val="en-US" w:eastAsia="zh-CN"/>
        </w:rPr>
        <w:t>旅居车辆 术语</w:t>
      </w:r>
      <w:r>
        <w:rPr>
          <w:rFonts w:hint="default" w:ascii="Times New Roman" w:hAnsi="Times New Roman" w:eastAsia="仿宋_GB2312" w:cs="Times New Roman"/>
          <w:sz w:val="28"/>
          <w:szCs w:val="28"/>
          <w:lang w:val="en-US" w:eastAsia="zh-CN"/>
        </w:rPr>
        <w:t xml:space="preserve">》标准号应当为：GB/T </w:t>
      </w:r>
      <w:r>
        <w:rPr>
          <w:rFonts w:hint="eastAsia" w:ascii="Times New Roman" w:hAnsi="Times New Roman" w:eastAsia="仿宋_GB2312" w:cs="Times New Roman"/>
          <w:sz w:val="28"/>
          <w:szCs w:val="28"/>
          <w:lang w:val="en-US" w:eastAsia="zh-CN"/>
        </w:rPr>
        <w:t>22550-2023</w:t>
      </w:r>
      <w:r>
        <w:rPr>
          <w:rFonts w:hint="default" w:ascii="Times New Roman" w:hAnsi="Times New Roman" w:eastAsia="仿宋_GB2312" w:cs="Times New Roman"/>
          <w:sz w:val="28"/>
          <w:szCs w:val="28"/>
          <w:lang w:val="en-US" w:eastAsia="zh-CN"/>
        </w:rPr>
        <w:t>。</w:t>
      </w:r>
    </w:p>
    <w:sectPr>
      <w:footerReference r:id="rId3" w:type="default"/>
      <w:footerReference r:id="rId4" w:type="even"/>
      <w:pgSz w:w="16838" w:h="11906" w:orient="landscape"/>
      <w:pgMar w:top="1474" w:right="1984" w:bottom="1474" w:left="1644" w:header="851" w:footer="1191" w:gutter="0"/>
      <w:pgBorders>
        <w:top w:val="none" w:sz="0" w:space="0"/>
        <w:left w:val="none" w:sz="0" w:space="0"/>
        <w:bottom w:val="none" w:sz="0" w:space="0"/>
        <w:right w:val="none" w:sz="0" w:space="0"/>
      </w:pgBorders>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86"/>
    <w:family w:val="roman"/>
    <w:pitch w:val="default"/>
    <w:sig w:usb0="00000000" w:usb1="00000000"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7BEB7"/>
    <w:multiLevelType w:val="singleLevel"/>
    <w:tmpl w:val="F7E7BEB7"/>
    <w:lvl w:ilvl="0" w:tentative="0">
      <w:start w:val="1"/>
      <w:numFmt w:val="chineseCounting"/>
      <w:suff w:val="nothing"/>
      <w:lvlText w:val="%1、"/>
      <w:lvlJc w:val="left"/>
      <w:rPr>
        <w:rFonts w:hint="eastAsia"/>
      </w:rPr>
    </w:lvl>
  </w:abstractNum>
  <w:abstractNum w:abstractNumId="1">
    <w:nsid w:val="3FEA120F"/>
    <w:multiLevelType w:val="singleLevel"/>
    <w:tmpl w:val="3FEA120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evenAndOddHeaders w:val="true"/>
  <w:drawingGridHorizontalSpacing w:val="107"/>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4465C25"/>
    <w:rsid w:val="04BD1014"/>
    <w:rsid w:val="050C4E4D"/>
    <w:rsid w:val="0CD30E4B"/>
    <w:rsid w:val="0D701F12"/>
    <w:rsid w:val="0F506799"/>
    <w:rsid w:val="0FF0E79A"/>
    <w:rsid w:val="101D74BB"/>
    <w:rsid w:val="12986199"/>
    <w:rsid w:val="137110B8"/>
    <w:rsid w:val="15130C7A"/>
    <w:rsid w:val="16754BEE"/>
    <w:rsid w:val="19673738"/>
    <w:rsid w:val="1A4F22A1"/>
    <w:rsid w:val="1CEC4122"/>
    <w:rsid w:val="1F3E183E"/>
    <w:rsid w:val="1FFF148E"/>
    <w:rsid w:val="24F51523"/>
    <w:rsid w:val="26DC42BD"/>
    <w:rsid w:val="297237DD"/>
    <w:rsid w:val="29EE26A2"/>
    <w:rsid w:val="2A2E2FA6"/>
    <w:rsid w:val="2CC22420"/>
    <w:rsid w:val="2D4EEE79"/>
    <w:rsid w:val="2FF85849"/>
    <w:rsid w:val="2FFD168E"/>
    <w:rsid w:val="31077699"/>
    <w:rsid w:val="31E31DB8"/>
    <w:rsid w:val="32B209C7"/>
    <w:rsid w:val="333D7989"/>
    <w:rsid w:val="33D74DBE"/>
    <w:rsid w:val="344B6E69"/>
    <w:rsid w:val="35511F61"/>
    <w:rsid w:val="35AC3113"/>
    <w:rsid w:val="36B31F95"/>
    <w:rsid w:val="37DE12D8"/>
    <w:rsid w:val="37DF7C21"/>
    <w:rsid w:val="38AE0930"/>
    <w:rsid w:val="39D7204E"/>
    <w:rsid w:val="3BE7D995"/>
    <w:rsid w:val="3D3CF64F"/>
    <w:rsid w:val="3D7F33FA"/>
    <w:rsid w:val="3DFF8090"/>
    <w:rsid w:val="3E8F38B7"/>
    <w:rsid w:val="3EF752DA"/>
    <w:rsid w:val="3F0B26CC"/>
    <w:rsid w:val="3F7F6977"/>
    <w:rsid w:val="3FD39FA3"/>
    <w:rsid w:val="41127064"/>
    <w:rsid w:val="43B850E8"/>
    <w:rsid w:val="4748745A"/>
    <w:rsid w:val="47687178"/>
    <w:rsid w:val="47AC01B5"/>
    <w:rsid w:val="47D4726C"/>
    <w:rsid w:val="4A103EFD"/>
    <w:rsid w:val="4A2B73D1"/>
    <w:rsid w:val="4C44287B"/>
    <w:rsid w:val="4C79ECF4"/>
    <w:rsid w:val="4D906D33"/>
    <w:rsid w:val="4DBFAA61"/>
    <w:rsid w:val="51433C13"/>
    <w:rsid w:val="52136962"/>
    <w:rsid w:val="52934F0B"/>
    <w:rsid w:val="529770AE"/>
    <w:rsid w:val="52FA253D"/>
    <w:rsid w:val="53823A42"/>
    <w:rsid w:val="53E978BF"/>
    <w:rsid w:val="54041E64"/>
    <w:rsid w:val="54D332BF"/>
    <w:rsid w:val="55037E8F"/>
    <w:rsid w:val="570222DE"/>
    <w:rsid w:val="57BF2DA2"/>
    <w:rsid w:val="57BF5C28"/>
    <w:rsid w:val="58D6785F"/>
    <w:rsid w:val="5BBEB2B6"/>
    <w:rsid w:val="5BCE6E37"/>
    <w:rsid w:val="5CA6175E"/>
    <w:rsid w:val="5D10443D"/>
    <w:rsid w:val="5EFD5329"/>
    <w:rsid w:val="5F59C619"/>
    <w:rsid w:val="5F5C1672"/>
    <w:rsid w:val="5FCF1ED4"/>
    <w:rsid w:val="60AE416C"/>
    <w:rsid w:val="61CA3494"/>
    <w:rsid w:val="642FECCE"/>
    <w:rsid w:val="64DA3411"/>
    <w:rsid w:val="67FF56DD"/>
    <w:rsid w:val="681775CB"/>
    <w:rsid w:val="69015752"/>
    <w:rsid w:val="6A0E7CE5"/>
    <w:rsid w:val="6B751AD0"/>
    <w:rsid w:val="6E485159"/>
    <w:rsid w:val="6F643D9C"/>
    <w:rsid w:val="6FEFC31E"/>
    <w:rsid w:val="6FFC2F0D"/>
    <w:rsid w:val="7202194A"/>
    <w:rsid w:val="72A777B7"/>
    <w:rsid w:val="737FD0F5"/>
    <w:rsid w:val="75E7EEBA"/>
    <w:rsid w:val="76C3431C"/>
    <w:rsid w:val="777D522F"/>
    <w:rsid w:val="7ADA7712"/>
    <w:rsid w:val="7BF29DDC"/>
    <w:rsid w:val="7BFFFC6E"/>
    <w:rsid w:val="7CAC5332"/>
    <w:rsid w:val="7CFF80E2"/>
    <w:rsid w:val="7D6E116E"/>
    <w:rsid w:val="7E054E0B"/>
    <w:rsid w:val="7EDD5827"/>
    <w:rsid w:val="7F1A7C91"/>
    <w:rsid w:val="7F7B04FD"/>
    <w:rsid w:val="7F7E7A17"/>
    <w:rsid w:val="7F7F6001"/>
    <w:rsid w:val="7F99FC5B"/>
    <w:rsid w:val="7F9E8A32"/>
    <w:rsid w:val="7FDB167C"/>
    <w:rsid w:val="7FDF107F"/>
    <w:rsid w:val="7FF96D3E"/>
    <w:rsid w:val="9D67A2C0"/>
    <w:rsid w:val="9FF5E299"/>
    <w:rsid w:val="B5BF5F1C"/>
    <w:rsid w:val="B7FBB37D"/>
    <w:rsid w:val="BEFB9C24"/>
    <w:rsid w:val="BFCFFCC5"/>
    <w:rsid w:val="BFFBF86A"/>
    <w:rsid w:val="C9FB471B"/>
    <w:rsid w:val="CD751717"/>
    <w:rsid w:val="CF5F37ED"/>
    <w:rsid w:val="CF7F238C"/>
    <w:rsid w:val="D17D6641"/>
    <w:rsid w:val="D3B476BF"/>
    <w:rsid w:val="DBB2E1D7"/>
    <w:rsid w:val="DD7A6D75"/>
    <w:rsid w:val="EAECF2AB"/>
    <w:rsid w:val="EBFD0A8E"/>
    <w:rsid w:val="EBFED6CD"/>
    <w:rsid w:val="ECFEBF52"/>
    <w:rsid w:val="EFDBCF90"/>
    <w:rsid w:val="EFE7B9D5"/>
    <w:rsid w:val="EFFDF953"/>
    <w:rsid w:val="F3D9E9A7"/>
    <w:rsid w:val="F4B5C90B"/>
    <w:rsid w:val="F7EF154F"/>
    <w:rsid w:val="F7F7B6E2"/>
    <w:rsid w:val="F8CF3082"/>
    <w:rsid w:val="FAFF9CD1"/>
    <w:rsid w:val="FB7FF94F"/>
    <w:rsid w:val="FCDA5816"/>
    <w:rsid w:val="FD7BA495"/>
    <w:rsid w:val="FDBFD245"/>
    <w:rsid w:val="FE3B76DC"/>
    <w:rsid w:val="FE3BA5E3"/>
    <w:rsid w:val="FE53D536"/>
    <w:rsid w:val="FEBF307D"/>
    <w:rsid w:val="FEC300EB"/>
    <w:rsid w:val="FEF13415"/>
    <w:rsid w:val="FEF37F87"/>
    <w:rsid w:val="FEFBDD17"/>
    <w:rsid w:val="FF7EFB2E"/>
    <w:rsid w:val="FFBFB4AD"/>
    <w:rsid w:val="FFDE03C7"/>
    <w:rsid w:val="FFF7804D"/>
    <w:rsid w:val="FFFD2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10395</Words>
  <Characters>22808</Characters>
  <Lines>192</Lines>
  <Paragraphs>54</Paragraphs>
  <TotalTime>8</TotalTime>
  <ScaleCrop>false</ScaleCrop>
  <LinksUpToDate>false</LinksUpToDate>
  <CharactersWithSpaces>23966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2020-03-14T18:48:00Z</dcterms:created>
  <dc:creator>langlf</dc:creator>
  <cp:lastModifiedBy>greatwall</cp:lastModifiedBy>
  <cp:lastPrinted>2023-03-24T02:43:00Z</cp:lastPrinted>
  <dcterms:modified xsi:type="dcterms:W3CDTF">2023-08-08T16:43:25Z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