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z w:val="40"/>
          <w:szCs w:val="40"/>
        </w:rPr>
      </w:pPr>
      <w:bookmarkStart w:id="0" w:name="_Toc3191237"/>
      <w:r>
        <w:rPr>
          <w:rFonts w:ascii="黑体" w:hAnsi="黑体" w:eastAsia="黑体" w:cs="黑体"/>
          <w:sz w:val="40"/>
          <w:szCs w:val="40"/>
        </w:rPr>
        <w:fldChar w:fldCharType="begin"/>
      </w:r>
      <w:r>
        <w:rPr>
          <w:rFonts w:ascii="黑体" w:hAnsi="黑体" w:eastAsia="黑体" w:cs="黑体"/>
          <w:sz w:val="40"/>
          <w:szCs w:val="40"/>
        </w:rPr>
        <w:instrText xml:space="preserve">ADDIN CNKISM.UserStyle</w:instrText>
      </w:r>
      <w:r>
        <w:rPr>
          <w:rFonts w:ascii="黑体" w:hAnsi="黑体" w:eastAsia="黑体" w:cs="黑体"/>
          <w:sz w:val="40"/>
          <w:szCs w:val="40"/>
        </w:rPr>
        <w:fldChar w:fldCharType="end"/>
      </w: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微软雅黑" w:hAnsi="微软雅黑" w:eastAsia="微软雅黑" w:cs="微软雅黑"/>
          <w:b/>
          <w:bCs/>
          <w:sz w:val="68"/>
          <w:szCs w:val="68"/>
        </w:rPr>
      </w:pPr>
      <w:bookmarkStart w:id="181" w:name="_GoBack"/>
      <w:r>
        <w:rPr>
          <w:rFonts w:hint="eastAsia" w:ascii="微软雅黑" w:hAnsi="微软雅黑" w:eastAsia="微软雅黑" w:cs="微软雅黑"/>
          <w:b/>
          <w:bCs/>
          <w:sz w:val="68"/>
          <w:szCs w:val="68"/>
        </w:rPr>
        <w:t>中国标准化发展年度报告</w:t>
      </w:r>
    </w:p>
    <w:p>
      <w:pPr>
        <w:jc w:val="center"/>
        <w:rPr>
          <w:rFonts w:ascii="黑体" w:hAnsi="黑体" w:eastAsia="黑体"/>
          <w:sz w:val="40"/>
          <w:szCs w:val="40"/>
        </w:rPr>
      </w:pPr>
      <w:r>
        <w:rPr>
          <w:rFonts w:hint="eastAsia" w:ascii="黑体" w:hAnsi="黑体" w:eastAsia="黑体"/>
          <w:sz w:val="40"/>
          <w:szCs w:val="40"/>
        </w:rPr>
        <w:t>（2020）</w:t>
      </w:r>
      <w:bookmarkEnd w:id="181"/>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40"/>
          <w:szCs w:val="40"/>
        </w:rPr>
      </w:pPr>
    </w:p>
    <w:p>
      <w:pPr>
        <w:widowControl/>
        <w:rPr>
          <w:rFonts w:ascii="微软雅黑" w:hAnsi="微软雅黑" w:eastAsia="微软雅黑" w:cs="微软雅黑"/>
          <w:sz w:val="40"/>
          <w:szCs w:val="40"/>
        </w:rPr>
      </w:pPr>
      <w:r>
        <w:rPr>
          <w:rFonts w:ascii="微软雅黑" w:hAnsi="微软雅黑" w:eastAsia="微软雅黑" w:cs="微软雅黑"/>
          <w:sz w:val="40"/>
          <w:szCs w:val="40"/>
        </w:rPr>
        <w:br w:type="page"/>
      </w:r>
    </w:p>
    <w:bookmarkEnd w:id="0"/>
    <w:p>
      <w:pPr>
        <w:spacing w:line="594" w:lineRule="exact"/>
        <w:jc w:val="center"/>
        <w:outlineLvl w:val="0"/>
        <w:rPr>
          <w:rFonts w:ascii="黑体" w:hAnsi="黑体" w:eastAsia="黑体" w:cs="黑体"/>
          <w:sz w:val="32"/>
          <w:szCs w:val="32"/>
        </w:rPr>
      </w:pPr>
      <w:bookmarkStart w:id="1" w:name="_Toc17545"/>
      <w:bookmarkStart w:id="2" w:name="_Toc74580115"/>
      <w:bookmarkStart w:id="3" w:name="_Toc58837877"/>
      <w:bookmarkStart w:id="4" w:name="_Toc74579950"/>
      <w:bookmarkStart w:id="5" w:name="_Toc74734651"/>
      <w:bookmarkStart w:id="6" w:name="_Toc10395"/>
      <w:r>
        <w:rPr>
          <w:rFonts w:hint="eastAsia" w:ascii="黑体" w:hAnsi="黑体" w:eastAsia="黑体" w:cs="黑体"/>
          <w:sz w:val="32"/>
          <w:szCs w:val="32"/>
        </w:rPr>
        <w:t xml:space="preserve">目 </w:t>
      </w:r>
      <w:r>
        <w:rPr>
          <w:rFonts w:ascii="黑体" w:hAnsi="黑体" w:eastAsia="黑体" w:cs="黑体"/>
          <w:sz w:val="32"/>
          <w:szCs w:val="32"/>
        </w:rPr>
        <w:t xml:space="preserve"> </w:t>
      </w:r>
      <w:r>
        <w:rPr>
          <w:rFonts w:hint="eastAsia" w:ascii="黑体" w:hAnsi="黑体" w:eastAsia="黑体" w:cs="黑体"/>
          <w:sz w:val="32"/>
          <w:szCs w:val="32"/>
        </w:rPr>
        <w:t>录</w:t>
      </w:r>
      <w:bookmarkEnd w:id="1"/>
      <w:bookmarkEnd w:id="2"/>
      <w:bookmarkEnd w:id="3"/>
      <w:bookmarkEnd w:id="4"/>
      <w:bookmarkEnd w:id="5"/>
      <w:bookmarkEnd w:id="6"/>
    </w:p>
    <w:p>
      <w:pPr>
        <w:pStyle w:val="2"/>
      </w:pPr>
    </w:p>
    <w:p>
      <w:pPr>
        <w:pStyle w:val="18"/>
        <w:tabs>
          <w:tab w:val="right" w:leader="dot" w:pos="8957"/>
          <w:tab w:val="clear" w:pos="8947"/>
        </w:tabs>
        <w:spacing w:line="594" w:lineRule="exact"/>
      </w:pPr>
      <w:r>
        <w:fldChar w:fldCharType="begin"/>
      </w:r>
      <w:r>
        <w:instrText xml:space="preserve"> TOC \o "1-1" \h \z \u </w:instrText>
      </w:r>
      <w:r>
        <w:fldChar w:fldCharType="separate"/>
      </w:r>
      <w:r>
        <w:fldChar w:fldCharType="begin"/>
      </w:r>
      <w:r>
        <w:instrText xml:space="preserve"> HYPERLINK \l "_Toc1594" </w:instrText>
      </w:r>
      <w:r>
        <w:fldChar w:fldCharType="separate"/>
      </w:r>
      <w:r>
        <w:rPr>
          <w:rFonts w:hint="eastAsia"/>
        </w:rPr>
        <w:t>前  言</w:t>
      </w:r>
      <w:r>
        <w:tab/>
      </w:r>
      <w:r>
        <w:fldChar w:fldCharType="begin"/>
      </w:r>
      <w:r>
        <w:instrText xml:space="preserve"> PAGEREF _Toc1594 \h </w:instrText>
      </w:r>
      <w:r>
        <w:fldChar w:fldCharType="separate"/>
      </w:r>
      <w:r>
        <w:t>1</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"_Toc22637" </w:instrText>
      </w:r>
      <w:r>
        <w:fldChar w:fldCharType="separate"/>
      </w:r>
      <w:r>
        <w:rPr>
          <w:rFonts w:hint="eastAsia"/>
        </w:rPr>
        <w:t>一、数据概览</w:t>
      </w:r>
      <w:r>
        <w:tab/>
      </w:r>
      <w:r>
        <w:fldChar w:fldCharType="begin"/>
      </w:r>
      <w:r>
        <w:instrText xml:space="preserve"> PAGEREF _Toc22637 \h </w:instrText>
      </w:r>
      <w:r>
        <w:fldChar w:fldCharType="separate"/>
      </w:r>
      <w:r>
        <w:t>3</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"_Toc6677" </w:instrText>
      </w:r>
      <w:r>
        <w:fldChar w:fldCharType="separate"/>
      </w:r>
      <w:r>
        <w:rPr>
          <w:rFonts w:hint="eastAsia"/>
        </w:rPr>
        <w:t>二、重点工作</w:t>
      </w:r>
      <w:r>
        <w:tab/>
      </w:r>
      <w:r>
        <w:fldChar w:fldCharType="begin"/>
      </w:r>
      <w:r>
        <w:instrText xml:space="preserve"> PAGEREF _Toc6677 \h </w:instrText>
      </w:r>
      <w:r>
        <w:fldChar w:fldCharType="separate"/>
      </w:r>
      <w:r>
        <w:t>9</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"_Toc8" </w:instrText>
      </w:r>
      <w:r>
        <w:fldChar w:fldCharType="separate"/>
      </w:r>
      <w:r>
        <w:rPr>
          <w:rFonts w:hint="eastAsia"/>
        </w:rPr>
        <w:t>三、国际标准化</w:t>
      </w:r>
      <w:r>
        <w:tab/>
      </w:r>
      <w:r>
        <w:fldChar w:fldCharType="begin"/>
      </w:r>
      <w:r>
        <w:instrText xml:space="preserve"> PAGEREF _Toc8 \h </w:instrText>
      </w:r>
      <w:r>
        <w:fldChar w:fldCharType="separate"/>
      </w:r>
      <w:r>
        <w:t>17</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"_Toc4697" </w:instrText>
      </w:r>
      <w:r>
        <w:fldChar w:fldCharType="separate"/>
      </w:r>
      <w:r>
        <w:rPr>
          <w:rFonts w:hint="eastAsia"/>
        </w:rPr>
        <w:t>四、基础建设</w:t>
      </w:r>
      <w:r>
        <w:tab/>
      </w:r>
      <w:r>
        <w:fldChar w:fldCharType="begin"/>
      </w:r>
      <w:r>
        <w:instrText xml:space="preserve"> PAGEREF _Toc4697 \h </w:instrText>
      </w:r>
      <w:r>
        <w:fldChar w:fldCharType="separate"/>
      </w:r>
      <w:r>
        <w:t>20</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"_Toc22" </w:instrText>
      </w:r>
      <w:r>
        <w:fldChar w:fldCharType="separate"/>
      </w:r>
      <w:r>
        <w:rPr>
          <w:rFonts w:hint="eastAsia"/>
        </w:rPr>
        <w:t>五、典型案例</w:t>
      </w:r>
      <w:r>
        <w:tab/>
      </w:r>
      <w:r>
        <w:fldChar w:fldCharType="begin"/>
      </w:r>
      <w:r>
        <w:instrText xml:space="preserve"> PAGEREF _Toc22 \h </w:instrText>
      </w:r>
      <w:r>
        <w:fldChar w:fldCharType="separate"/>
      </w:r>
      <w:r>
        <w:t>23</w:t>
      </w:r>
      <w:r>
        <w:fldChar w:fldCharType="end"/>
      </w:r>
      <w:r>
        <w:fldChar w:fldCharType="end"/>
      </w:r>
    </w:p>
    <w:p>
      <w:pPr>
        <w:pStyle w:val="18"/>
        <w:tabs>
          <w:tab w:val="right" w:leader="dot" w:pos="8957"/>
          <w:tab w:val="clear" w:pos="8947"/>
        </w:tabs>
        <w:spacing w:line="594" w:lineRule="exact"/>
      </w:pPr>
      <w:r>
        <w:fldChar w:fldCharType="begin"/>
      </w:r>
      <w:r>
        <w:instrText xml:space="preserve"> HYPERLINK \l "_Toc13632" </w:instrText>
      </w:r>
      <w:r>
        <w:fldChar w:fldCharType="separate"/>
      </w:r>
      <w:r>
        <w:rPr>
          <w:rFonts w:hint="eastAsia"/>
        </w:rPr>
        <w:t>附 录</w:t>
      </w:r>
      <w:r>
        <w:tab/>
      </w:r>
      <w:r>
        <w:fldChar w:fldCharType="begin"/>
      </w:r>
      <w:r>
        <w:instrText xml:space="preserve"> PAGEREF _Toc13632 \h </w:instrText>
      </w:r>
      <w:r>
        <w:fldChar w:fldCharType="separate"/>
      </w:r>
      <w:r>
        <w:t>35</w:t>
      </w:r>
      <w:r>
        <w:fldChar w:fldCharType="end"/>
      </w:r>
      <w:r>
        <w:fldChar w:fldCharType="end"/>
      </w:r>
    </w:p>
    <w:p>
      <w:pPr>
        <w:spacing w:line="594" w:lineRule="exact"/>
        <w:sectPr>
          <w:footerReference r:id="rId3" w:type="default"/>
          <w:pgSz w:w="11906" w:h="16838"/>
          <w:pgMar w:top="1985" w:right="1361" w:bottom="1361" w:left="1588" w:header="851" w:footer="1418" w:gutter="0"/>
          <w:cols w:space="720" w:num="1"/>
          <w:docGrid w:type="linesAndChars" w:linePitch="286" w:charSpace="-1638"/>
        </w:sectPr>
      </w:pPr>
      <w:r>
        <w:fldChar w:fldCharType="end"/>
      </w:r>
    </w:p>
    <w:p/>
    <w:p>
      <w:pPr>
        <w:spacing w:line="594" w:lineRule="exact"/>
        <w:jc w:val="center"/>
        <w:outlineLvl w:val="0"/>
        <w:rPr>
          <w:rFonts w:ascii="黑体" w:hAnsi="黑体" w:eastAsia="黑体" w:cs="黑体"/>
          <w:sz w:val="32"/>
          <w:szCs w:val="32"/>
        </w:rPr>
      </w:pPr>
      <w:bookmarkStart w:id="7" w:name="_Toc1594"/>
      <w:bookmarkStart w:id="8" w:name="_Toc74734652"/>
      <w:bookmarkStart w:id="9" w:name="_Toc8886"/>
      <w:bookmarkStart w:id="10" w:name="_Toc74579951"/>
      <w:r>
        <w:rPr>
          <w:rFonts w:hint="eastAsia" w:ascii="黑体" w:hAnsi="黑体" w:eastAsia="黑体" w:cs="黑体"/>
          <w:sz w:val="32"/>
          <w:szCs w:val="32"/>
        </w:rPr>
        <w:t>前  言</w:t>
      </w:r>
      <w:bookmarkEnd w:id="7"/>
      <w:bookmarkEnd w:id="8"/>
      <w:bookmarkEnd w:id="9"/>
      <w:bookmarkEnd w:id="10"/>
    </w:p>
    <w:p>
      <w:pPr>
        <w:spacing w:line="594" w:lineRule="exact"/>
      </w:pPr>
    </w:p>
    <w:p>
      <w:pPr>
        <w:spacing w:line="594" w:lineRule="exact"/>
        <w:ind w:firstLine="546" w:firstLineChars="200"/>
        <w:jc w:val="both"/>
        <w:rPr>
          <w:rFonts w:hAnsi="仿宋_GB2312" w:cs="仿宋_GB2312"/>
          <w:szCs w:val="28"/>
        </w:rPr>
      </w:pPr>
      <w:r>
        <w:rPr>
          <w:rFonts w:cs="仿宋_GB2312"/>
          <w:szCs w:val="28"/>
        </w:rPr>
        <w:t>2</w:t>
      </w:r>
      <w:r>
        <w:rPr>
          <w:rFonts w:hint="eastAsia" w:cs="仿宋_GB2312"/>
          <w:szCs w:val="28"/>
        </w:rPr>
        <w:t>020年是全面建成小康社会和“十三五”规划收官之年，是“十四五”谋篇布局之年。</w:t>
      </w:r>
      <w:bookmarkStart w:id="11" w:name="_Hlk76550234"/>
      <w:r>
        <w:rPr>
          <w:rFonts w:hint="eastAsia" w:cs="仿宋_GB2312"/>
          <w:szCs w:val="28"/>
        </w:rPr>
        <w:t>习近平总书记指出</w:t>
      </w:r>
      <w:bookmarkEnd w:id="11"/>
      <w:r>
        <w:rPr>
          <w:rFonts w:hint="eastAsia" w:cs="仿宋_GB2312"/>
          <w:szCs w:val="28"/>
        </w:rPr>
        <w:t>，“要着力推动规则、规制、管理、标准等制度型开放，提供高水平制度供给、高质量产品供给、高效率资金供给，更好参与国际合作和竞争。”</w:t>
      </w:r>
      <w:r>
        <w:rPr>
          <w:rFonts w:hint="eastAsia"/>
        </w:rPr>
        <w:t>围绕</w:t>
      </w:r>
      <w:r>
        <w:rPr>
          <w:rFonts w:hint="eastAsia" w:cs="仿宋_GB2312"/>
          <w:szCs w:val="28"/>
        </w:rPr>
        <w:t>疫情防控和复工复产，习近平总书记指出，“对短期可能出现的物资供应短缺，建立集中生产调度机制，统一组织原材料供应、安排定点生产、规范质量标准，确保应急物资保障有序有力。”</w:t>
      </w:r>
      <w:r>
        <w:rPr>
          <w:rFonts w:hint="eastAsia" w:hAnsi="仿宋_GB2312" w:cs="仿宋_GB2312"/>
          <w:szCs w:val="28"/>
        </w:rPr>
        <w:t>这一年，按照</w:t>
      </w:r>
      <w:r>
        <w:rPr>
          <w:rFonts w:hAnsi="仿宋_GB2312" w:cs="仿宋_GB2312"/>
          <w:szCs w:val="28"/>
        </w:rPr>
        <w:t>党中央、国务院</w:t>
      </w:r>
      <w:r>
        <w:rPr>
          <w:rFonts w:hint="eastAsia" w:hAnsi="仿宋_GB2312" w:cs="仿宋_GB2312"/>
          <w:szCs w:val="28"/>
        </w:rPr>
        <w:t>的决策</w:t>
      </w:r>
      <w:r>
        <w:rPr>
          <w:rFonts w:hAnsi="仿宋_GB2312" w:cs="仿宋_GB2312"/>
          <w:szCs w:val="28"/>
        </w:rPr>
        <w:t>部署</w:t>
      </w:r>
      <w:r>
        <w:rPr>
          <w:rFonts w:hint="eastAsia" w:hAnsi="仿宋_GB2312" w:cs="仿宋_GB2312"/>
          <w:szCs w:val="28"/>
        </w:rPr>
        <w:t>，我国发布国家标准</w:t>
      </w:r>
      <w:r>
        <w:rPr>
          <w:rFonts w:hAnsi="仿宋_GB2312" w:cs="仿宋_GB2312"/>
          <w:szCs w:val="28"/>
        </w:rPr>
        <w:t>2252</w:t>
      </w:r>
      <w:r>
        <w:rPr>
          <w:rFonts w:hint="eastAsia" w:hAnsi="仿宋_GB2312" w:cs="仿宋_GB2312"/>
          <w:szCs w:val="28"/>
        </w:rPr>
        <w:t>项，筹建、成立区块链等</w:t>
      </w:r>
      <w:r>
        <w:rPr>
          <w:rFonts w:hAnsi="仿宋_GB2312" w:cs="仿宋_GB2312"/>
          <w:szCs w:val="28"/>
        </w:rPr>
        <w:t>32</w:t>
      </w:r>
      <w:r>
        <w:rPr>
          <w:rFonts w:hint="eastAsia" w:hAnsi="仿宋_GB2312" w:cs="仿宋_GB2312"/>
          <w:szCs w:val="28"/>
        </w:rPr>
        <w:t>个全国专业标准化技术组织，新备案行业标准</w:t>
      </w:r>
      <w:r>
        <w:rPr>
          <w:rFonts w:hAnsi="仿宋_GB2312" w:cs="仿宋_GB2312"/>
          <w:szCs w:val="28"/>
        </w:rPr>
        <w:t>8105</w:t>
      </w:r>
      <w:r>
        <w:rPr>
          <w:rFonts w:hint="eastAsia" w:hAnsi="仿宋_GB2312" w:cs="仿宋_GB2312"/>
          <w:szCs w:val="28"/>
        </w:rPr>
        <w:t>项、地方标准</w:t>
      </w:r>
      <w:r>
        <w:rPr>
          <w:rFonts w:hAnsi="仿宋_GB2312" w:cs="仿宋_GB2312"/>
          <w:szCs w:val="28"/>
        </w:rPr>
        <w:t>8387</w:t>
      </w:r>
      <w:r>
        <w:rPr>
          <w:rFonts w:hint="eastAsia" w:hAnsi="仿宋_GB2312" w:cs="仿宋_GB2312"/>
          <w:szCs w:val="28"/>
        </w:rPr>
        <w:t>项，新增团体标准9155项，企业自我声明公开标准新增</w:t>
      </w:r>
      <w:r>
        <w:rPr>
          <w:rFonts w:hAnsi="仿宋_GB2312" w:cs="仿宋_GB2312"/>
          <w:szCs w:val="28"/>
        </w:rPr>
        <w:t>44</w:t>
      </w:r>
      <w:r>
        <w:rPr>
          <w:rFonts w:hint="eastAsia" w:hAnsi="仿宋_GB2312" w:cs="仿宋_GB2312"/>
          <w:szCs w:val="28"/>
        </w:rPr>
        <w:t>万多项。2</w:t>
      </w:r>
      <w:r>
        <w:rPr>
          <w:rFonts w:hAnsi="仿宋_GB2312" w:cs="仿宋_GB2312"/>
          <w:szCs w:val="28"/>
        </w:rPr>
        <w:t>020</w:t>
      </w:r>
      <w:r>
        <w:rPr>
          <w:rFonts w:hint="eastAsia" w:hAnsi="仿宋_GB2312" w:cs="仿宋_GB2312"/>
          <w:szCs w:val="28"/>
        </w:rPr>
        <w:t>年是新冠肺炎疫情全球蔓延的一年。这一年，我国发布疫情防控和复工复产国家标准2</w:t>
      </w:r>
      <w:r>
        <w:rPr>
          <w:rFonts w:hAnsi="仿宋_GB2312" w:cs="仿宋_GB2312"/>
          <w:szCs w:val="28"/>
        </w:rPr>
        <w:t>8</w:t>
      </w:r>
      <w:r>
        <w:rPr>
          <w:rFonts w:hint="eastAsia" w:hAnsi="仿宋_GB2312" w:cs="仿宋_GB2312"/>
          <w:szCs w:val="28"/>
        </w:rPr>
        <w:t>项，地方标准80余项，团体标准</w:t>
      </w:r>
      <w:r>
        <w:rPr>
          <w:rFonts w:hAnsi="仿宋_GB2312" w:cs="仿宋_GB2312"/>
          <w:szCs w:val="28"/>
        </w:rPr>
        <w:t>269</w:t>
      </w:r>
      <w:r>
        <w:rPr>
          <w:rFonts w:hint="eastAsia" w:hAnsi="仿宋_GB2312" w:cs="仿宋_GB2312"/>
          <w:szCs w:val="28"/>
        </w:rPr>
        <w:t>项，开展30余个国家和地区、440余项标准比对分析工作，与欧洲主要标准组织（CEN/CENELEC）和法国、德国、英国、西班牙等国家标准化机构开展防疫标准合作，有力支撑抗疫工作。这一年，我国标准制度型开放逐步推进，新承担锂技术委员会（ISO/TC 333）、电力场站低压辅助系统技术委员会（IEC/TC 127）等10个国际标准组织技术机构秘书处和领导职务，外资企业代表参与</w:t>
      </w:r>
      <w:r>
        <w:rPr>
          <w:rFonts w:hint="eastAsia" w:hAnsi="仿宋_GB2312" w:cs="仿宋_GB2312"/>
          <w:szCs w:val="28"/>
          <w:lang w:eastAsia="zh-CN"/>
        </w:rPr>
        <w:t>我国技术委员会</w:t>
      </w:r>
      <w:r>
        <w:rPr>
          <w:rFonts w:hint="eastAsia" w:hAnsi="仿宋_GB2312" w:cs="仿宋_GB2312"/>
          <w:szCs w:val="28"/>
        </w:rPr>
        <w:t>比例持续扩大，截至2020年底，外资企业代表累计人数达3176人次，占比6.08%。这一年，围绕构建新发展格局，着力加强标准化</w:t>
      </w:r>
      <w:r>
        <w:rPr>
          <w:rFonts w:hint="eastAsia" w:hAnsi="仿宋_GB2312" w:cs="仿宋_GB2312"/>
          <w:szCs w:val="28"/>
          <w:lang w:eastAsia="zh-CN"/>
        </w:rPr>
        <w:t>政策规划</w:t>
      </w:r>
      <w:r>
        <w:rPr>
          <w:rFonts w:hint="eastAsia" w:hAnsi="仿宋_GB2312" w:cs="仿宋_GB2312"/>
          <w:szCs w:val="28"/>
        </w:rPr>
        <w:t>研究，持续深化标准化工作改革，我国标准体系更加健全，</w:t>
      </w:r>
      <w:r>
        <w:rPr>
          <w:rFonts w:hint="eastAsia"/>
        </w:rPr>
        <w:t>标准化发展活力更加显著，标准化引领高质量发展的能力不断增强，标准国际化水平显著提升，标准化治理效能充分释放。</w:t>
      </w:r>
    </w:p>
    <w:p>
      <w:pPr>
        <w:spacing w:line="594" w:lineRule="exact"/>
        <w:ind w:firstLine="546" w:firstLineChars="200"/>
        <w:jc w:val="both"/>
        <w:rPr>
          <w:rFonts w:cs="仿宋_GB2312"/>
          <w:szCs w:val="28"/>
        </w:rPr>
      </w:pPr>
      <w:r>
        <w:rPr>
          <w:rFonts w:hint="eastAsia" w:cs="仿宋_GB2312"/>
          <w:szCs w:val="28"/>
        </w:rPr>
        <w:t>为增进国内外对中国标准化事业的了解，积极贡献中国标准化工作经验和智慧，总结</w:t>
      </w:r>
      <w:r>
        <w:rPr>
          <w:rFonts w:cs="仿宋_GB2312"/>
          <w:szCs w:val="28"/>
        </w:rPr>
        <w:t>2020</w:t>
      </w:r>
      <w:r>
        <w:rPr>
          <w:rFonts w:hint="eastAsia" w:cs="仿宋_GB2312"/>
          <w:szCs w:val="28"/>
        </w:rPr>
        <w:t>年中国标准化工作，特编制《中国标准化发展年度报告（</w:t>
      </w:r>
      <w:r>
        <w:rPr>
          <w:rFonts w:cs="仿宋_GB2312"/>
          <w:szCs w:val="28"/>
        </w:rPr>
        <w:t>2020</w:t>
      </w:r>
      <w:r>
        <w:rPr>
          <w:rFonts w:hint="eastAsia" w:cs="仿宋_GB2312"/>
          <w:szCs w:val="28"/>
        </w:rPr>
        <w:t>）》。</w:t>
      </w:r>
    </w:p>
    <w:p>
      <w:pPr>
        <w:pStyle w:val="2"/>
        <w:jc w:val="both"/>
        <w:sectPr>
          <w:footerReference r:id="rId4" w:type="default"/>
          <w:pgSz w:w="11906" w:h="16838"/>
          <w:pgMar w:top="1985" w:right="1361" w:bottom="1361" w:left="1588" w:header="851" w:footer="1418" w:gutter="0"/>
          <w:pgNumType w:start="1"/>
          <w:cols w:space="720" w:num="1"/>
          <w:docGrid w:type="linesAndChars" w:linePitch="286" w:charSpace="-1638"/>
        </w:sectPr>
      </w:pPr>
    </w:p>
    <w:p>
      <w:pPr>
        <w:spacing w:line="594" w:lineRule="exact"/>
        <w:ind w:firstLine="626" w:firstLineChars="200"/>
        <w:outlineLvl w:val="0"/>
        <w:rPr>
          <w:rFonts w:ascii="黑体" w:hAnsi="黑体" w:eastAsia="黑体" w:cs="黑体"/>
          <w:sz w:val="32"/>
          <w:szCs w:val="32"/>
        </w:rPr>
      </w:pPr>
      <w:bookmarkStart w:id="12" w:name="_Toc31418"/>
      <w:bookmarkStart w:id="13" w:name="_Toc22637"/>
      <w:bookmarkStart w:id="14" w:name="_Toc74579952"/>
      <w:bookmarkStart w:id="15" w:name="_Toc74734653"/>
      <w:r>
        <w:rPr>
          <w:rFonts w:hint="eastAsia" w:ascii="黑体" w:hAnsi="黑体" w:eastAsia="黑体" w:cs="黑体"/>
          <w:sz w:val="32"/>
          <w:szCs w:val="32"/>
        </w:rPr>
        <w:t>一、数据</w:t>
      </w:r>
      <w:bookmarkEnd w:id="12"/>
      <w:r>
        <w:rPr>
          <w:rFonts w:hint="eastAsia" w:ascii="黑体" w:hAnsi="黑体" w:eastAsia="黑体" w:cs="黑体"/>
          <w:sz w:val="32"/>
          <w:szCs w:val="32"/>
        </w:rPr>
        <w:t>概览</w:t>
      </w:r>
      <w:bookmarkEnd w:id="13"/>
      <w:bookmarkEnd w:id="14"/>
      <w:bookmarkEnd w:id="15"/>
    </w:p>
    <w:p>
      <w:pPr>
        <w:spacing w:line="594" w:lineRule="exact"/>
        <w:ind w:firstLine="546" w:firstLineChars="200"/>
        <w:jc w:val="both"/>
        <w:rPr>
          <w:rFonts w:cs="仿宋_GB2312"/>
          <w:szCs w:val="28"/>
        </w:rPr>
      </w:pPr>
      <w:r>
        <w:rPr>
          <w:rFonts w:cs="仿宋_GB2312"/>
          <w:szCs w:val="28"/>
        </w:rPr>
        <w:t>2020</w:t>
      </w:r>
      <w:r>
        <w:rPr>
          <w:rFonts w:hint="eastAsia" w:cs="仿宋_GB2312"/>
          <w:szCs w:val="28"/>
        </w:rPr>
        <w:t>年，我国标准体系结构不断完善。政府主导制定的标准持续优化，强制性标准整合精简</w:t>
      </w:r>
      <w:r>
        <w:rPr>
          <w:rFonts w:cs="仿宋_GB2312"/>
          <w:szCs w:val="28"/>
        </w:rPr>
        <w:t>300</w:t>
      </w:r>
      <w:r>
        <w:rPr>
          <w:rFonts w:hint="eastAsia" w:cs="仿宋_GB2312"/>
          <w:szCs w:val="28"/>
        </w:rPr>
        <w:t>余项，推荐性标准持续优化，行业标准、地方标准分别废止</w:t>
      </w:r>
      <w:r>
        <w:rPr>
          <w:rFonts w:cs="仿宋_GB2312"/>
          <w:szCs w:val="28"/>
        </w:rPr>
        <w:t>2665</w:t>
      </w:r>
      <w:r>
        <w:rPr>
          <w:rFonts w:hint="eastAsia" w:cs="仿宋_GB2312"/>
          <w:szCs w:val="28"/>
        </w:rPr>
        <w:t>项、</w:t>
      </w:r>
      <w:r>
        <w:rPr>
          <w:rFonts w:cs="仿宋_GB2312"/>
          <w:szCs w:val="28"/>
        </w:rPr>
        <w:t>5411</w:t>
      </w:r>
      <w:r>
        <w:rPr>
          <w:rFonts w:hint="eastAsia" w:cs="仿宋_GB2312"/>
          <w:szCs w:val="28"/>
        </w:rPr>
        <w:t>项。市场自主制定的标准活力不断释放，团体标准发布数同比增加</w:t>
      </w:r>
      <w:r>
        <w:rPr>
          <w:rFonts w:cs="仿宋_GB2312"/>
          <w:szCs w:val="28"/>
        </w:rPr>
        <w:t>47.02%</w:t>
      </w:r>
      <w:r>
        <w:rPr>
          <w:rFonts w:hint="eastAsia" w:cs="仿宋_GB2312"/>
          <w:szCs w:val="28"/>
        </w:rPr>
        <w:t>，企业自我声明公开标准数</w:t>
      </w:r>
      <w:r>
        <w:rPr>
          <w:rFonts w:hint="eastAsia" w:cs="仿宋_GB2312"/>
          <w:szCs w:val="28"/>
          <w:lang w:eastAsia="zh-CN"/>
        </w:rPr>
        <w:t>量</w:t>
      </w:r>
      <w:r>
        <w:rPr>
          <w:rFonts w:hint="eastAsia" w:cs="仿宋_GB2312"/>
          <w:szCs w:val="28"/>
        </w:rPr>
        <w:t>同比增加</w:t>
      </w:r>
      <w:r>
        <w:rPr>
          <w:rFonts w:cs="仿宋_GB2312"/>
          <w:szCs w:val="28"/>
        </w:rPr>
        <w:t>9.8%</w:t>
      </w:r>
      <w:r>
        <w:rPr>
          <w:rFonts w:hint="eastAsia" w:cs="仿宋_GB2312"/>
          <w:szCs w:val="28"/>
        </w:rPr>
        <w:t>。政府主导制定的标准和市场自主制定的标准相互补充、相得益彰，标准供给日益多元化。</w:t>
      </w:r>
    </w:p>
    <w:p>
      <w:pPr>
        <w:spacing w:line="594" w:lineRule="exact"/>
        <w:ind w:firstLine="546" w:firstLineChars="200"/>
        <w:outlineLvl w:val="1"/>
        <w:rPr>
          <w:rFonts w:ascii="楷体_GB2312" w:eastAsia="楷体_GB2312"/>
          <w:b/>
          <w:bCs/>
          <w:szCs w:val="28"/>
        </w:rPr>
      </w:pPr>
      <w:bookmarkStart w:id="16" w:name="_Toc74580118"/>
      <w:bookmarkStart w:id="17" w:name="_Toc74579953"/>
      <w:bookmarkStart w:id="18" w:name="_Toc38271704"/>
      <w:r>
        <w:rPr>
          <w:rFonts w:hint="eastAsia" w:ascii="楷体_GB2312" w:eastAsia="楷体_GB2312" w:cs="楷体_GB2312"/>
          <w:b/>
          <w:bCs/>
          <w:szCs w:val="28"/>
        </w:rPr>
        <w:t>（一）国家标准</w:t>
      </w:r>
      <w:bookmarkEnd w:id="16"/>
      <w:bookmarkEnd w:id="17"/>
      <w:bookmarkEnd w:id="18"/>
    </w:p>
    <w:p>
      <w:pPr>
        <w:spacing w:line="594" w:lineRule="exact"/>
        <w:ind w:firstLine="546" w:firstLineChars="200"/>
        <w:jc w:val="both"/>
        <w:rPr>
          <w:rFonts w:cs="仿宋_GB2312"/>
          <w:szCs w:val="28"/>
        </w:rPr>
      </w:pPr>
      <w:r>
        <w:rPr>
          <w:rFonts w:hint="eastAsia" w:cs="仿宋_GB2312"/>
          <w:szCs w:val="28"/>
        </w:rPr>
        <w:t>2020年批准发布国家标准</w:t>
      </w:r>
      <w:r>
        <w:rPr>
          <w:rFonts w:cs="仿宋_GB2312"/>
          <w:szCs w:val="28"/>
        </w:rPr>
        <w:t>2252</w:t>
      </w:r>
      <w:r>
        <w:rPr>
          <w:rFonts w:hint="eastAsia" w:cs="仿宋_GB2312"/>
          <w:szCs w:val="28"/>
        </w:rPr>
        <w:t>项。按照标准性质划分，其中强制性标准</w:t>
      </w:r>
      <w:r>
        <w:rPr>
          <w:rFonts w:cs="仿宋_GB2312"/>
          <w:szCs w:val="28"/>
        </w:rPr>
        <w:t>99</w:t>
      </w:r>
      <w:r>
        <w:rPr>
          <w:rFonts w:hint="eastAsia" w:cs="仿宋_GB2312"/>
          <w:szCs w:val="28"/>
        </w:rPr>
        <w:t>项，推荐性标准</w:t>
      </w:r>
      <w:r>
        <w:rPr>
          <w:rFonts w:cs="仿宋_GB2312"/>
          <w:szCs w:val="28"/>
        </w:rPr>
        <w:t>21</w:t>
      </w:r>
      <w:r>
        <w:rPr>
          <w:rFonts w:hint="eastAsia" w:cs="仿宋_GB2312"/>
          <w:szCs w:val="28"/>
        </w:rPr>
        <w:t>53项；按照标准制修订划分，其中制定</w:t>
      </w:r>
      <w:r>
        <w:rPr>
          <w:rFonts w:cs="仿宋_GB2312"/>
          <w:szCs w:val="28"/>
        </w:rPr>
        <w:t>1584</w:t>
      </w:r>
      <w:r>
        <w:rPr>
          <w:rFonts w:hint="eastAsia" w:cs="仿宋_GB2312"/>
          <w:szCs w:val="28"/>
        </w:rPr>
        <w:t>项，修订</w:t>
      </w:r>
      <w:r>
        <w:rPr>
          <w:rFonts w:cs="仿宋_GB2312"/>
          <w:szCs w:val="28"/>
        </w:rPr>
        <w:t>668</w:t>
      </w:r>
      <w:r>
        <w:rPr>
          <w:rFonts w:hint="eastAsia" w:cs="仿宋_GB2312"/>
          <w:szCs w:val="28"/>
        </w:rPr>
        <w:t>项。2020年批准发布国家标准样品</w:t>
      </w:r>
      <w:r>
        <w:rPr>
          <w:rFonts w:cs="仿宋_GB2312"/>
          <w:szCs w:val="28"/>
        </w:rPr>
        <w:t>163</w:t>
      </w:r>
      <w:r>
        <w:rPr>
          <w:rFonts w:hint="eastAsia" w:cs="仿宋_GB2312"/>
          <w:szCs w:val="28"/>
        </w:rPr>
        <w:t>项，其中研制</w:t>
      </w:r>
      <w:r>
        <w:rPr>
          <w:rFonts w:cs="仿宋_GB2312"/>
          <w:szCs w:val="28"/>
        </w:rPr>
        <w:t>140</w:t>
      </w:r>
      <w:r>
        <w:rPr>
          <w:rFonts w:hint="eastAsia" w:cs="仿宋_GB2312"/>
          <w:szCs w:val="28"/>
        </w:rPr>
        <w:t>项，复制</w:t>
      </w:r>
      <w:r>
        <w:rPr>
          <w:rFonts w:cs="仿宋_GB2312"/>
          <w:szCs w:val="28"/>
        </w:rPr>
        <w:t>23</w:t>
      </w:r>
      <w:r>
        <w:rPr>
          <w:rFonts w:hint="eastAsia" w:cs="仿宋_GB2312"/>
          <w:szCs w:val="28"/>
        </w:rPr>
        <w:t>项。与2019年相比，2020年度标准批准发布量增加</w:t>
      </w:r>
      <w:r>
        <w:rPr>
          <w:rFonts w:cs="仿宋_GB2312"/>
          <w:szCs w:val="28"/>
        </w:rPr>
        <w:t>231</w:t>
      </w:r>
      <w:r>
        <w:rPr>
          <w:rFonts w:hint="eastAsia" w:cs="仿宋_GB2312"/>
          <w:szCs w:val="28"/>
        </w:rPr>
        <w:t>项，研制复制国家标准样品减少</w:t>
      </w:r>
      <w:r>
        <w:rPr>
          <w:rFonts w:cs="仿宋_GB2312"/>
          <w:szCs w:val="28"/>
        </w:rPr>
        <w:t>48</w:t>
      </w:r>
      <w:r>
        <w:rPr>
          <w:rFonts w:hint="eastAsia" w:cs="仿宋_GB2312"/>
          <w:szCs w:val="28"/>
        </w:rPr>
        <w:t>项。</w:t>
      </w:r>
    </w:p>
    <w:p>
      <w:pPr>
        <w:spacing w:line="594" w:lineRule="exact"/>
        <w:ind w:firstLine="640"/>
        <w:jc w:val="both"/>
        <w:rPr>
          <w:rFonts w:cs="仿宋_GB2312"/>
          <w:szCs w:val="28"/>
        </w:rPr>
      </w:pPr>
      <w:r>
        <w:rPr>
          <w:rFonts w:hint="eastAsia" w:cs="仿宋_GB2312"/>
          <w:szCs w:val="28"/>
        </w:rPr>
        <w:t>截至2020年底，国家标准共</w:t>
      </w:r>
      <w:r>
        <w:rPr>
          <w:rFonts w:cs="仿宋_GB2312"/>
          <w:szCs w:val="28"/>
        </w:rPr>
        <w:t>39847</w:t>
      </w:r>
      <w:r>
        <w:rPr>
          <w:rFonts w:hint="eastAsia" w:cs="仿宋_GB2312"/>
          <w:szCs w:val="28"/>
        </w:rPr>
        <w:t>项，其中强制性标准</w:t>
      </w:r>
      <w:r>
        <w:rPr>
          <w:rFonts w:cs="仿宋_GB2312"/>
          <w:szCs w:val="28"/>
        </w:rPr>
        <w:t>2133</w:t>
      </w:r>
      <w:r>
        <w:rPr>
          <w:rFonts w:hint="eastAsia" w:cs="仿宋_GB2312"/>
          <w:szCs w:val="28"/>
        </w:rPr>
        <w:t>项，推荐性标准</w:t>
      </w:r>
      <w:r>
        <w:rPr>
          <w:rFonts w:cs="仿宋_GB2312"/>
          <w:szCs w:val="28"/>
        </w:rPr>
        <w:t>37</w:t>
      </w:r>
      <w:r>
        <w:rPr>
          <w:rFonts w:hint="eastAsia" w:cs="仿宋_GB2312"/>
          <w:szCs w:val="28"/>
        </w:rPr>
        <w:t>714项；国家标准样品共</w:t>
      </w:r>
      <w:r>
        <w:rPr>
          <w:rFonts w:cs="仿宋_GB2312"/>
          <w:szCs w:val="28"/>
        </w:rPr>
        <w:t>1983</w:t>
      </w:r>
      <w:r>
        <w:rPr>
          <w:rFonts w:hint="eastAsia" w:cs="仿宋_GB2312"/>
          <w:szCs w:val="28"/>
        </w:rPr>
        <w:t>项。</w:t>
      </w:r>
    </w:p>
    <w:p>
      <w:pPr>
        <w:spacing w:line="594" w:lineRule="exact"/>
        <w:ind w:firstLine="546" w:firstLineChars="200"/>
        <w:outlineLvl w:val="1"/>
        <w:rPr>
          <w:rFonts w:ascii="楷体_GB2312" w:eastAsia="楷体_GB2312"/>
          <w:b/>
          <w:bCs/>
          <w:szCs w:val="28"/>
        </w:rPr>
      </w:pPr>
      <w:bookmarkStart w:id="19" w:name="_Toc74579954"/>
      <w:bookmarkStart w:id="20" w:name="_Toc74580119"/>
      <w:bookmarkStart w:id="21" w:name="_Toc15108"/>
      <w:bookmarkStart w:id="22" w:name="_Toc30746"/>
      <w:bookmarkStart w:id="23" w:name="_Toc38271705"/>
      <w:bookmarkStart w:id="24" w:name="_Toc14617"/>
      <w:bookmarkStart w:id="25" w:name="_Toc10441961"/>
      <w:r>
        <w:rPr>
          <w:rFonts w:hint="eastAsia" w:ascii="楷体_GB2312" w:eastAsia="楷体_GB2312" w:cs="楷体_GB2312"/>
          <w:b/>
          <w:bCs/>
          <w:szCs w:val="28"/>
        </w:rPr>
        <w:t>（二）行业标准</w:t>
      </w:r>
      <w:bookmarkEnd w:id="19"/>
      <w:bookmarkEnd w:id="20"/>
      <w:bookmarkEnd w:id="21"/>
      <w:bookmarkEnd w:id="22"/>
      <w:bookmarkEnd w:id="23"/>
      <w:bookmarkEnd w:id="24"/>
      <w:bookmarkEnd w:id="25"/>
    </w:p>
    <w:p>
      <w:pPr>
        <w:spacing w:line="594" w:lineRule="exact"/>
        <w:ind w:firstLine="640"/>
        <w:jc w:val="both"/>
        <w:rPr>
          <w:szCs w:val="28"/>
        </w:rPr>
      </w:pPr>
      <w:r>
        <w:rPr>
          <w:rFonts w:hint="eastAsia" w:cs="仿宋_GB2312"/>
          <w:szCs w:val="28"/>
        </w:rPr>
        <w:t>2020年备案行业标准</w:t>
      </w:r>
      <w:r>
        <w:rPr>
          <w:rFonts w:cs="仿宋_GB2312"/>
          <w:szCs w:val="28"/>
        </w:rPr>
        <w:t>8105</w:t>
      </w:r>
      <w:r>
        <w:rPr>
          <w:rFonts w:hint="eastAsia" w:cs="仿宋_GB2312"/>
          <w:szCs w:val="28"/>
        </w:rPr>
        <w:t>项。与2019年相比，2020年度备案行业标准数量增加</w:t>
      </w:r>
      <w:r>
        <w:rPr>
          <w:rFonts w:cs="仿宋_GB2312"/>
          <w:szCs w:val="28"/>
        </w:rPr>
        <w:t>3225</w:t>
      </w:r>
      <w:r>
        <w:rPr>
          <w:rFonts w:hint="eastAsia" w:cs="仿宋_GB2312"/>
          <w:szCs w:val="28"/>
        </w:rPr>
        <w:t>项。截至2020年底，共批准设立</w:t>
      </w:r>
      <w:r>
        <w:rPr>
          <w:rFonts w:cs="仿宋_GB2312"/>
          <w:szCs w:val="28"/>
        </w:rPr>
        <w:t>7</w:t>
      </w:r>
      <w:r>
        <w:rPr>
          <w:rFonts w:hint="eastAsia" w:cs="仿宋_GB2312"/>
          <w:szCs w:val="28"/>
        </w:rPr>
        <w:t>1类行业标准，备案行业标准共</w:t>
      </w:r>
      <w:r>
        <w:rPr>
          <w:rFonts w:cs="仿宋_GB2312"/>
          <w:szCs w:val="28"/>
        </w:rPr>
        <w:t>72620</w:t>
      </w:r>
      <w:r>
        <w:rPr>
          <w:rFonts w:hint="eastAsia" w:cs="仿宋_GB2312"/>
          <w:szCs w:val="28"/>
        </w:rPr>
        <w:t>项。</w:t>
      </w:r>
    </w:p>
    <w:p>
      <w:pPr>
        <w:spacing w:line="594" w:lineRule="exact"/>
        <w:ind w:firstLine="546" w:firstLineChars="200"/>
        <w:outlineLvl w:val="1"/>
        <w:rPr>
          <w:rFonts w:ascii="楷体_GB2312" w:eastAsia="楷体_GB2312"/>
          <w:b/>
          <w:bCs/>
          <w:szCs w:val="28"/>
        </w:rPr>
      </w:pPr>
      <w:bookmarkStart w:id="26" w:name="_Toc24053"/>
      <w:bookmarkStart w:id="27" w:name="_Toc74580120"/>
      <w:bookmarkStart w:id="28" w:name="_Toc8600"/>
      <w:bookmarkStart w:id="29" w:name="_Toc10441962"/>
      <w:bookmarkStart w:id="30" w:name="_Toc30310"/>
      <w:bookmarkStart w:id="31" w:name="_Toc74579955"/>
      <w:bookmarkStart w:id="32" w:name="_Toc38271706"/>
      <w:r>
        <w:rPr>
          <w:rFonts w:hint="eastAsia" w:ascii="楷体_GB2312" w:eastAsia="楷体_GB2312" w:cs="楷体_GB2312"/>
          <w:b/>
          <w:bCs/>
          <w:szCs w:val="28"/>
        </w:rPr>
        <w:t>（三）地方标准</w:t>
      </w:r>
      <w:bookmarkEnd w:id="26"/>
      <w:bookmarkEnd w:id="27"/>
      <w:bookmarkEnd w:id="28"/>
      <w:bookmarkEnd w:id="29"/>
      <w:bookmarkEnd w:id="30"/>
      <w:bookmarkEnd w:id="31"/>
      <w:bookmarkEnd w:id="32"/>
    </w:p>
    <w:p>
      <w:pPr>
        <w:spacing w:line="594" w:lineRule="exact"/>
        <w:ind w:firstLine="640"/>
        <w:jc w:val="both"/>
        <w:rPr>
          <w:rFonts w:ascii="方正仿宋简体" w:eastAsia="方正仿宋简体"/>
          <w:b/>
          <w:bCs/>
        </w:rPr>
      </w:pPr>
      <w:r>
        <w:rPr>
          <w:rFonts w:hint="eastAsia" w:cs="仿宋_GB2312"/>
          <w:szCs w:val="28"/>
        </w:rPr>
        <w:t>2020年备案地方标准</w:t>
      </w:r>
      <w:r>
        <w:rPr>
          <w:rFonts w:cs="仿宋_GB2312"/>
          <w:szCs w:val="28"/>
        </w:rPr>
        <w:t>8387</w:t>
      </w:r>
      <w:r>
        <w:rPr>
          <w:rFonts w:hint="eastAsia" w:cs="仿宋_GB2312"/>
          <w:szCs w:val="28"/>
        </w:rPr>
        <w:t>项。与2019年相比，2020年度备案量增加</w:t>
      </w:r>
      <w:r>
        <w:rPr>
          <w:rFonts w:cs="仿宋_GB2312"/>
          <w:szCs w:val="28"/>
        </w:rPr>
        <w:t>1149</w:t>
      </w:r>
      <w:r>
        <w:rPr>
          <w:rFonts w:hint="eastAsia" w:cs="仿宋_GB2312"/>
          <w:szCs w:val="28"/>
        </w:rPr>
        <w:t>项。截至2020年底，备案地方标准共</w:t>
      </w:r>
      <w:r>
        <w:rPr>
          <w:rFonts w:cs="仿宋_GB2312"/>
          <w:szCs w:val="28"/>
        </w:rPr>
        <w:t>49334</w:t>
      </w:r>
      <w:r>
        <w:rPr>
          <w:rFonts w:hint="eastAsia" w:cs="仿宋_GB2312"/>
          <w:szCs w:val="28"/>
        </w:rPr>
        <w:t>项。</w:t>
      </w:r>
    </w:p>
    <w:p>
      <w:pPr>
        <w:jc w:val="center"/>
        <w:rPr>
          <w:rFonts w:ascii="方正仿宋简体" w:hAnsi="Cambria" w:eastAsia="方正仿宋简体" w:cs="方正仿宋简体"/>
          <w:b/>
          <w:bCs/>
          <w:sz w:val="20"/>
          <w:szCs w:val="20"/>
        </w:rPr>
      </w:pPr>
      <w:r>
        <w:rPr>
          <w:rFonts w:ascii="Cambria" w:hAnsi="Cambria" w:eastAsia="黑体" w:cs="Cambria"/>
          <w:sz w:val="20"/>
          <w:szCs w:val="20"/>
        </w:rPr>
        <w:drawing>
          <wp:inline distT="0" distB="0" distL="0" distR="0">
            <wp:extent cx="5486400" cy="32004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1</w:t>
      </w:r>
      <w:r>
        <w:rPr>
          <w:rFonts w:hint="eastAsia" w:ascii="方正仿宋简体" w:hAnsi="Cambria" w:eastAsia="方正仿宋简体" w:cs="方正仿宋简体"/>
          <w:b/>
          <w:bCs/>
          <w:sz w:val="20"/>
          <w:szCs w:val="20"/>
        </w:rPr>
        <w:t xml:space="preserve"> </w:t>
      </w:r>
      <w:r>
        <w:rPr>
          <w:rFonts w:ascii="方正仿宋简体" w:hAnsi="Cambria" w:eastAsia="方正仿宋简体" w:cs="方正仿宋简体"/>
          <w:b/>
          <w:bCs/>
          <w:sz w:val="20"/>
          <w:szCs w:val="20"/>
        </w:rPr>
        <w:t xml:space="preserve"> 2019</w:t>
      </w:r>
      <w:r>
        <w:rPr>
          <w:rFonts w:hint="eastAsia" w:ascii="方正仿宋简体" w:hAnsi="Cambria" w:eastAsia="方正仿宋简体" w:cs="方正仿宋简体"/>
          <w:b/>
          <w:bCs/>
          <w:sz w:val="20"/>
          <w:szCs w:val="20"/>
        </w:rPr>
        <w:t>年</w:t>
      </w:r>
      <w:r>
        <w:rPr>
          <w:rFonts w:ascii="方正仿宋简体" w:hAnsi="Cambria" w:eastAsia="方正仿宋简体" w:cs="方正仿宋简体"/>
          <w:b/>
          <w:bCs/>
          <w:sz w:val="20"/>
          <w:szCs w:val="20"/>
        </w:rPr>
        <w:t>与</w:t>
      </w:r>
      <w:r>
        <w:rPr>
          <w:rFonts w:hint="eastAsia" w:ascii="方正仿宋简体" w:hAnsi="Cambria" w:eastAsia="方正仿宋简体" w:cs="方正仿宋简体"/>
          <w:b/>
          <w:bCs/>
          <w:sz w:val="20"/>
          <w:szCs w:val="20"/>
        </w:rPr>
        <w:t>2020年</w:t>
      </w:r>
      <w:r>
        <w:rPr>
          <w:rFonts w:ascii="方正仿宋简体" w:hAnsi="Cambria" w:eastAsia="方正仿宋简体" w:cs="方正仿宋简体"/>
          <w:b/>
          <w:bCs/>
          <w:sz w:val="20"/>
          <w:szCs w:val="20"/>
        </w:rPr>
        <w:t>国家</w:t>
      </w:r>
      <w:r>
        <w:rPr>
          <w:rFonts w:hint="eastAsia" w:ascii="方正仿宋简体" w:hAnsi="Cambria" w:eastAsia="方正仿宋简体" w:cs="方正仿宋简体"/>
          <w:b/>
          <w:bCs/>
          <w:sz w:val="20"/>
          <w:szCs w:val="20"/>
        </w:rPr>
        <w:t>标准</w:t>
      </w:r>
      <w:r>
        <w:rPr>
          <w:rFonts w:ascii="方正仿宋简体" w:hAnsi="Cambria" w:eastAsia="方正仿宋简体" w:cs="方正仿宋简体"/>
          <w:b/>
          <w:bCs/>
          <w:sz w:val="20"/>
          <w:szCs w:val="20"/>
        </w:rPr>
        <w:t>、行业标准、地方标准数量对比</w:t>
      </w:r>
    </w:p>
    <w:p>
      <w:pPr>
        <w:spacing w:line="594" w:lineRule="exact"/>
        <w:ind w:firstLine="546" w:firstLineChars="200"/>
        <w:outlineLvl w:val="1"/>
        <w:rPr>
          <w:rFonts w:ascii="楷体_GB2312" w:eastAsia="楷体_GB2312"/>
          <w:b/>
          <w:bCs/>
          <w:szCs w:val="28"/>
        </w:rPr>
      </w:pPr>
      <w:bookmarkStart w:id="33" w:name="_Toc74580121"/>
      <w:bookmarkStart w:id="34" w:name="_Toc1750"/>
      <w:bookmarkStart w:id="35" w:name="_Toc1298"/>
      <w:bookmarkStart w:id="36" w:name="_Toc38271707"/>
      <w:bookmarkStart w:id="37" w:name="_Toc74579956"/>
      <w:bookmarkStart w:id="38" w:name="_Toc10441963"/>
      <w:bookmarkStart w:id="39" w:name="_Toc14451"/>
      <w:r>
        <w:rPr>
          <w:rFonts w:hint="eastAsia" w:ascii="楷体_GB2312" w:eastAsia="楷体_GB2312" w:cs="楷体_GB2312"/>
          <w:b/>
          <w:bCs/>
          <w:szCs w:val="28"/>
        </w:rPr>
        <w:t>（四）团体标准</w:t>
      </w:r>
      <w:bookmarkEnd w:id="33"/>
      <w:bookmarkEnd w:id="34"/>
      <w:bookmarkEnd w:id="35"/>
      <w:bookmarkEnd w:id="36"/>
      <w:bookmarkEnd w:id="37"/>
      <w:bookmarkEnd w:id="38"/>
      <w:bookmarkEnd w:id="39"/>
    </w:p>
    <w:p>
      <w:pPr>
        <w:spacing w:line="594" w:lineRule="exact"/>
        <w:ind w:firstLine="640"/>
        <w:jc w:val="both"/>
        <w:rPr>
          <w:rFonts w:cs="仿宋_GB2312"/>
          <w:szCs w:val="28"/>
        </w:rPr>
      </w:pPr>
      <w:r>
        <w:rPr>
          <w:rFonts w:hint="eastAsia" w:cs="仿宋_GB2312"/>
          <w:szCs w:val="28"/>
        </w:rPr>
        <w:t>2020年，共有</w:t>
      </w:r>
      <w:r>
        <w:rPr>
          <w:rFonts w:cs="仿宋_GB2312"/>
          <w:szCs w:val="28"/>
        </w:rPr>
        <w:t>1292</w:t>
      </w:r>
      <w:r>
        <w:rPr>
          <w:rFonts w:hint="eastAsia" w:cs="仿宋_GB2312"/>
          <w:szCs w:val="28"/>
        </w:rPr>
        <w:t>家社会团体在全国团体标准信息平台（本节简称平台）上注册，公布</w:t>
      </w:r>
      <w:r>
        <w:rPr>
          <w:rFonts w:cs="仿宋_GB2312"/>
          <w:szCs w:val="28"/>
        </w:rPr>
        <w:t>9155</w:t>
      </w:r>
      <w:r>
        <w:rPr>
          <w:rFonts w:hint="eastAsia" w:cs="仿宋_GB2312"/>
          <w:szCs w:val="28"/>
        </w:rPr>
        <w:t>项团体标准。相比2019年，2020年平台年度注册社会团体数量增加</w:t>
      </w:r>
      <w:r>
        <w:rPr>
          <w:rFonts w:cs="仿宋_GB2312"/>
          <w:szCs w:val="28"/>
        </w:rPr>
        <w:t>329</w:t>
      </w:r>
      <w:r>
        <w:rPr>
          <w:rFonts w:hint="eastAsia" w:cs="仿宋_GB2312"/>
          <w:szCs w:val="28"/>
        </w:rPr>
        <w:t>家，年度发布团体标准数量增加</w:t>
      </w:r>
      <w:r>
        <w:rPr>
          <w:rFonts w:cs="仿宋_GB2312"/>
          <w:szCs w:val="28"/>
        </w:rPr>
        <w:t>2928</w:t>
      </w:r>
      <w:r>
        <w:rPr>
          <w:rFonts w:hint="eastAsia" w:cs="仿宋_GB2312"/>
          <w:szCs w:val="28"/>
        </w:rPr>
        <w:t>项，</w:t>
      </w:r>
      <w:r>
        <w:rPr>
          <w:rFonts w:hint="eastAsia" w:cs="仿宋_GB2312"/>
          <w:szCs w:val="28"/>
          <w:lang w:eastAsia="zh-CN"/>
        </w:rPr>
        <w:t>具体</w:t>
      </w:r>
      <w:r>
        <w:rPr>
          <w:rFonts w:hint="eastAsia" w:cs="仿宋_GB2312"/>
          <w:szCs w:val="28"/>
        </w:rPr>
        <w:t>情况见图2。</w:t>
      </w:r>
    </w:p>
    <w:p>
      <w:pPr>
        <w:pStyle w:val="8"/>
        <w:jc w:val="center"/>
        <w:rPr>
          <w:rFonts w:ascii="方正仿宋简体" w:eastAsia="方正仿宋简体" w:cs="方正仿宋简体"/>
          <w:b/>
          <w:bCs/>
        </w:rPr>
      </w:pPr>
      <w:bookmarkStart w:id="40" w:name="_Ref13575055"/>
      <w:bookmarkStart w:id="41" w:name="_Ref12650708"/>
      <w:r>
        <w:drawing>
          <wp:inline distT="0" distB="0" distL="0" distR="0">
            <wp:extent cx="1977390" cy="1950085"/>
            <wp:effectExtent l="0" t="0" r="3810"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方正仿宋简体" w:eastAsia="方正仿宋简体" w:cs="方正仿宋简体"/>
          <w:b/>
          <w:bCs/>
        </w:rPr>
        <w:t xml:space="preserve">    </w:t>
      </w:r>
      <w:r>
        <w:drawing>
          <wp:inline distT="0" distB="0" distL="0" distR="0">
            <wp:extent cx="1940560" cy="1913255"/>
            <wp:effectExtent l="0" t="0" r="2540" b="10795"/>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Ansi="宋体"/>
          <w:szCs w:val="28"/>
        </w:rPr>
      </w:pPr>
      <w:bookmarkStart w:id="42" w:name="_Ref38272883"/>
      <w:r>
        <w:rPr>
          <w:rFonts w:hint="eastAsia" w:ascii="方正仿宋简体" w:hAnsi="Cambria" w:eastAsia="方正仿宋简体" w:cs="方正仿宋简体"/>
          <w:b/>
          <w:bCs/>
          <w:sz w:val="20"/>
          <w:szCs w:val="20"/>
        </w:rPr>
        <w:t>图</w:t>
      </w:r>
      <w:bookmarkEnd w:id="40"/>
      <w:bookmarkEnd w:id="41"/>
      <w:bookmarkEnd w:id="42"/>
      <w:r>
        <w:rPr>
          <w:rFonts w:hint="eastAsia" w:ascii="方正仿宋简体" w:hAnsi="Cambria" w:eastAsia="方正仿宋简体" w:cs="方正仿宋简体"/>
          <w:b/>
          <w:bCs/>
          <w:sz w:val="20"/>
          <w:szCs w:val="20"/>
        </w:rPr>
        <w:t>2  2019年与2020年团体标准数量及信息平台上社会团体注册数量对比</w:t>
      </w:r>
    </w:p>
    <w:p>
      <w:pPr>
        <w:spacing w:line="594" w:lineRule="exact"/>
        <w:ind w:firstLine="546" w:firstLineChars="200"/>
        <w:jc w:val="both"/>
        <w:rPr>
          <w:rFonts w:hAnsi="宋体" w:cs="仿宋_GB2312"/>
          <w:szCs w:val="28"/>
        </w:rPr>
      </w:pPr>
      <w:r>
        <w:rPr>
          <w:rFonts w:hint="eastAsia" w:hAnsi="宋体" w:cs="仿宋_GB2312"/>
          <w:szCs w:val="28"/>
        </w:rPr>
        <w:t>截至2020年底，共有</w:t>
      </w:r>
      <w:r>
        <w:rPr>
          <w:rFonts w:hAnsi="宋体" w:cs="仿宋_GB2312"/>
          <w:szCs w:val="28"/>
        </w:rPr>
        <w:t>4334</w:t>
      </w:r>
      <w:r>
        <w:rPr>
          <w:rFonts w:hint="eastAsia" w:hAnsi="宋体" w:cs="仿宋_GB2312"/>
          <w:szCs w:val="28"/>
        </w:rPr>
        <w:t>家社会团体在平台注册，平台上共公布</w:t>
      </w:r>
      <w:r>
        <w:rPr>
          <w:rFonts w:hAnsi="宋体" w:cs="仿宋_GB2312"/>
          <w:szCs w:val="28"/>
        </w:rPr>
        <w:t>21350</w:t>
      </w:r>
      <w:r>
        <w:rPr>
          <w:rFonts w:hint="eastAsia" w:hAnsi="宋体" w:cs="仿宋_GB2312"/>
          <w:szCs w:val="28"/>
        </w:rPr>
        <w:t>项团体标准。按领域范围统计，其中农业类</w:t>
      </w:r>
      <w:r>
        <w:rPr>
          <w:rFonts w:hint="eastAsia" w:cs="仿宋_GB2312"/>
          <w:szCs w:val="28"/>
        </w:rPr>
        <w:t>标准</w:t>
      </w:r>
      <w:r>
        <w:rPr>
          <w:rFonts w:cs="仿宋_GB2312"/>
          <w:szCs w:val="28"/>
        </w:rPr>
        <w:t>2999</w:t>
      </w:r>
      <w:r>
        <w:rPr>
          <w:rFonts w:hint="eastAsia" w:cs="仿宋_GB2312"/>
          <w:szCs w:val="28"/>
        </w:rPr>
        <w:t>项，占比</w:t>
      </w:r>
      <w:r>
        <w:rPr>
          <w:rFonts w:cs="仿宋_GB2312"/>
          <w:szCs w:val="28"/>
        </w:rPr>
        <w:t>14.05</w:t>
      </w:r>
      <w:r>
        <w:rPr>
          <w:rFonts w:hint="eastAsia" w:hAnsi="宋体" w:cs="仿宋_GB2312"/>
          <w:szCs w:val="28"/>
        </w:rPr>
        <w:t>%；工业类标准</w:t>
      </w:r>
      <w:r>
        <w:rPr>
          <w:rFonts w:cs="仿宋_GB2312"/>
          <w:szCs w:val="28"/>
        </w:rPr>
        <w:t>10528</w:t>
      </w:r>
      <w:r>
        <w:rPr>
          <w:rFonts w:hint="eastAsia" w:hAnsi="宋体" w:cs="仿宋_GB2312"/>
          <w:szCs w:val="28"/>
        </w:rPr>
        <w:t>项，占比</w:t>
      </w:r>
      <w:r>
        <w:rPr>
          <w:rFonts w:cs="仿宋_GB2312"/>
          <w:szCs w:val="28"/>
        </w:rPr>
        <w:t>49.31</w:t>
      </w:r>
      <w:r>
        <w:rPr>
          <w:rFonts w:hint="eastAsia" w:hAnsi="宋体" w:cs="仿宋_GB2312"/>
          <w:szCs w:val="28"/>
        </w:rPr>
        <w:t>%；服务业类标准</w:t>
      </w:r>
      <w:r>
        <w:rPr>
          <w:rFonts w:cs="仿宋_GB2312"/>
          <w:szCs w:val="28"/>
        </w:rPr>
        <w:t>4568</w:t>
      </w:r>
      <w:r>
        <w:rPr>
          <w:rFonts w:hint="eastAsia" w:hAnsi="宋体" w:cs="仿宋_GB2312"/>
          <w:szCs w:val="28"/>
        </w:rPr>
        <w:t>项，占比</w:t>
      </w:r>
      <w:r>
        <w:rPr>
          <w:rFonts w:cs="仿宋_GB2312"/>
          <w:szCs w:val="28"/>
        </w:rPr>
        <w:t>21.40</w:t>
      </w:r>
      <w:r>
        <w:rPr>
          <w:rFonts w:hint="eastAsia" w:hAnsi="宋体" w:cs="仿宋_GB2312"/>
          <w:szCs w:val="28"/>
        </w:rPr>
        <w:t>%；社会事业类标准</w:t>
      </w:r>
      <w:r>
        <w:rPr>
          <w:rFonts w:cs="仿宋_GB2312"/>
          <w:szCs w:val="28"/>
        </w:rPr>
        <w:t>3255</w:t>
      </w:r>
      <w:r>
        <w:rPr>
          <w:rFonts w:hint="eastAsia" w:hAnsi="宋体" w:cs="仿宋_GB2312"/>
          <w:szCs w:val="28"/>
        </w:rPr>
        <w:t>项，占比</w:t>
      </w:r>
      <w:r>
        <w:rPr>
          <w:rFonts w:cs="仿宋_GB2312"/>
          <w:szCs w:val="28"/>
        </w:rPr>
        <w:t>15.25</w:t>
      </w:r>
      <w:r>
        <w:rPr>
          <w:rFonts w:hint="eastAsia" w:hAnsi="宋体" w:cs="仿宋_GB2312"/>
          <w:szCs w:val="28"/>
        </w:rPr>
        <w:t>%。</w:t>
      </w:r>
      <w:r>
        <w:rPr>
          <w:rFonts w:hint="eastAsia" w:hAnsi="宋体" w:cs="仿宋_GB2312"/>
          <w:szCs w:val="28"/>
          <w:lang w:eastAsia="zh-CN"/>
        </w:rPr>
        <w:t>具体</w:t>
      </w:r>
      <w:r>
        <w:rPr>
          <w:rFonts w:hint="eastAsia" w:hAnsi="宋体" w:cs="仿宋_GB2312"/>
          <w:szCs w:val="28"/>
        </w:rPr>
        <w:t>情况见图3。</w:t>
      </w:r>
    </w:p>
    <w:p>
      <w:pPr>
        <w:spacing w:line="360" w:lineRule="auto"/>
        <w:ind w:firstLine="546" w:firstLineChars="200"/>
        <w:jc w:val="center"/>
        <w:rPr>
          <w:szCs w:val="28"/>
        </w:rPr>
      </w:pPr>
      <w:r>
        <w:drawing>
          <wp:inline distT="0" distB="0" distL="0" distR="0">
            <wp:extent cx="3712210" cy="1750060"/>
            <wp:effectExtent l="4445" t="4445" r="17145" b="17145"/>
            <wp:docPr id="25"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ascii="方正仿宋简体" w:hAnsi="Cambria" w:eastAsia="方正仿宋简体"/>
          <w:b/>
          <w:bCs/>
          <w:sz w:val="20"/>
          <w:szCs w:val="20"/>
        </w:rPr>
      </w:pPr>
      <w:bookmarkStart w:id="43" w:name="_Ref12284073"/>
      <w:r>
        <w:rPr>
          <w:rFonts w:hint="eastAsia" w:ascii="方正仿宋简体" w:hAnsi="Cambria" w:eastAsia="方正仿宋简体" w:cs="方正仿宋简体"/>
          <w:b/>
          <w:bCs/>
          <w:sz w:val="20"/>
          <w:szCs w:val="20"/>
        </w:rPr>
        <w:t>图</w:t>
      </w:r>
      <w:bookmarkEnd w:id="43"/>
      <w:r>
        <w:rPr>
          <w:rFonts w:ascii="Cambria" w:hAnsi="Cambria" w:eastAsia="黑体" w:cs="Cambria"/>
          <w:sz w:val="20"/>
          <w:szCs w:val="20"/>
        </w:rPr>
        <w:t>3</w:t>
      </w:r>
      <w:r>
        <w:rPr>
          <w:rFonts w:hint="eastAsia" w:ascii="方正仿宋简体" w:hAnsi="Cambria" w:eastAsia="方正仿宋简体" w:cs="方正仿宋简体"/>
          <w:b/>
          <w:bCs/>
          <w:sz w:val="20"/>
          <w:szCs w:val="20"/>
        </w:rPr>
        <w:t xml:space="preserve">  团体标准按领域范围划分情况</w:t>
      </w:r>
    </w:p>
    <w:p>
      <w:pPr>
        <w:spacing w:line="594" w:lineRule="exact"/>
        <w:ind w:firstLine="546" w:firstLineChars="200"/>
        <w:outlineLvl w:val="1"/>
        <w:rPr>
          <w:rFonts w:ascii="楷体_GB2312" w:eastAsia="楷体_GB2312"/>
          <w:b/>
          <w:bCs/>
          <w:szCs w:val="28"/>
        </w:rPr>
      </w:pPr>
      <w:bookmarkStart w:id="44" w:name="_Toc74579957"/>
      <w:bookmarkStart w:id="45" w:name="_Toc10212"/>
      <w:bookmarkStart w:id="46" w:name="_Toc10441964"/>
      <w:bookmarkStart w:id="47" w:name="_Toc18052"/>
      <w:bookmarkStart w:id="48" w:name="_Toc74580122"/>
      <w:bookmarkStart w:id="49" w:name="_Toc38271708"/>
      <w:bookmarkStart w:id="50" w:name="_Toc758"/>
      <w:r>
        <w:rPr>
          <w:rFonts w:hint="eastAsia" w:ascii="楷体_GB2312" w:eastAsia="楷体_GB2312" w:cs="楷体_GB2312"/>
          <w:b/>
          <w:bCs/>
          <w:szCs w:val="28"/>
        </w:rPr>
        <w:t>（五）企业标准</w:t>
      </w:r>
      <w:bookmarkEnd w:id="44"/>
      <w:bookmarkEnd w:id="45"/>
      <w:bookmarkEnd w:id="46"/>
      <w:bookmarkEnd w:id="47"/>
      <w:bookmarkEnd w:id="48"/>
      <w:bookmarkEnd w:id="49"/>
      <w:bookmarkEnd w:id="50"/>
    </w:p>
    <w:p>
      <w:pPr>
        <w:spacing w:line="594" w:lineRule="exact"/>
        <w:ind w:firstLine="546" w:firstLineChars="200"/>
        <w:jc w:val="both"/>
        <w:rPr>
          <w:szCs w:val="28"/>
        </w:rPr>
      </w:pPr>
      <w:r>
        <w:rPr>
          <w:rFonts w:hint="eastAsia" w:cs="仿宋_GB2312"/>
          <w:szCs w:val="28"/>
        </w:rPr>
        <w:t>2020年，企业标准信息公共服务平台</w:t>
      </w:r>
      <w:r>
        <w:rPr>
          <w:rFonts w:hint="eastAsia" w:hAnsi="宋体" w:cs="仿宋_GB2312"/>
          <w:szCs w:val="28"/>
        </w:rPr>
        <w:t>（本节简称平台）</w:t>
      </w:r>
      <w:r>
        <w:rPr>
          <w:rFonts w:hint="eastAsia" w:cs="仿宋_GB2312"/>
          <w:szCs w:val="28"/>
        </w:rPr>
        <w:t>新注册企业</w:t>
      </w:r>
      <w:r>
        <w:rPr>
          <w:rFonts w:cs="仿宋_GB2312"/>
          <w:szCs w:val="28"/>
        </w:rPr>
        <w:t>72691</w:t>
      </w:r>
      <w:r>
        <w:rPr>
          <w:rFonts w:hint="eastAsia" w:cs="仿宋_GB2312"/>
          <w:szCs w:val="28"/>
        </w:rPr>
        <w:t>家；</w:t>
      </w:r>
      <w:r>
        <w:rPr>
          <w:rFonts w:cs="仿宋_GB2312"/>
          <w:szCs w:val="28"/>
        </w:rPr>
        <w:t>112000</w:t>
      </w:r>
      <w:r>
        <w:rPr>
          <w:rFonts w:hint="eastAsia" w:cs="仿宋_GB2312"/>
          <w:szCs w:val="28"/>
        </w:rPr>
        <w:t>家企业</w:t>
      </w:r>
      <w:r>
        <w:rPr>
          <w:rFonts w:hint="eastAsia" w:hAnsi="宋体" w:cs="仿宋_GB2312"/>
          <w:szCs w:val="28"/>
        </w:rPr>
        <w:t>通过</w:t>
      </w:r>
      <w:r>
        <w:rPr>
          <w:rFonts w:hint="eastAsia" w:cs="仿宋_GB2312"/>
          <w:szCs w:val="28"/>
        </w:rPr>
        <w:t>平台自我声明公开企业标准</w:t>
      </w:r>
      <w:r>
        <w:rPr>
          <w:rFonts w:cs="仿宋_GB2312"/>
          <w:szCs w:val="28"/>
        </w:rPr>
        <w:t>446664</w:t>
      </w:r>
      <w:r>
        <w:rPr>
          <w:rFonts w:hint="eastAsia" w:cs="仿宋_GB2312"/>
          <w:szCs w:val="28"/>
        </w:rPr>
        <w:t>项，涵盖产品</w:t>
      </w:r>
      <w:r>
        <w:rPr>
          <w:rFonts w:cs="仿宋_GB2312"/>
          <w:szCs w:val="28"/>
        </w:rPr>
        <w:t>742596</w:t>
      </w:r>
      <w:r>
        <w:rPr>
          <w:rFonts w:hint="eastAsia" w:cs="仿宋_GB2312"/>
          <w:szCs w:val="28"/>
        </w:rPr>
        <w:t>种。与2019年相比，平台2020年度注册企业数增加</w:t>
      </w:r>
      <w:r>
        <w:rPr>
          <w:rFonts w:cs="仿宋_GB2312"/>
          <w:szCs w:val="28"/>
        </w:rPr>
        <w:t>16729</w:t>
      </w:r>
      <w:r>
        <w:rPr>
          <w:rFonts w:hint="eastAsia" w:cs="仿宋_GB2312"/>
          <w:szCs w:val="28"/>
        </w:rPr>
        <w:t>家，年度公开标准数增加</w:t>
      </w:r>
      <w:r>
        <w:rPr>
          <w:rFonts w:cs="仿宋_GB2312"/>
          <w:szCs w:val="28"/>
        </w:rPr>
        <w:t>73533</w:t>
      </w:r>
      <w:r>
        <w:rPr>
          <w:rFonts w:hint="eastAsia" w:cs="仿宋_GB2312"/>
          <w:szCs w:val="28"/>
        </w:rPr>
        <w:t>项，涵盖产品种类增加</w:t>
      </w:r>
      <w:r>
        <w:rPr>
          <w:rFonts w:cs="仿宋_GB2312"/>
          <w:szCs w:val="28"/>
        </w:rPr>
        <w:t>90801</w:t>
      </w:r>
      <w:r>
        <w:rPr>
          <w:rFonts w:hint="eastAsia" w:cs="仿宋_GB2312"/>
          <w:szCs w:val="28"/>
        </w:rPr>
        <w:t>种，具体情况见</w:t>
      </w:r>
      <w:r>
        <w:rPr>
          <w:rFonts w:hint="eastAsia" w:cs="仿宋_GB2312"/>
          <w:szCs w:val="28"/>
          <w:lang w:eastAsia="zh-CN"/>
        </w:rPr>
        <w:t>图</w:t>
      </w:r>
      <w:r>
        <w:rPr>
          <w:rFonts w:cs="仿宋_GB2312"/>
          <w:szCs w:val="28"/>
        </w:rPr>
        <w:fldChar w:fldCharType="begin"/>
      </w:r>
      <w:r>
        <w:rPr>
          <w:rFonts w:cs="仿宋_GB2312"/>
          <w:szCs w:val="28"/>
        </w:rPr>
        <w:instrText xml:space="preserve"> </w:instrText>
      </w:r>
      <w:r>
        <w:rPr>
          <w:rFonts w:hint="eastAsia" w:cs="仿宋_GB2312"/>
          <w:szCs w:val="28"/>
        </w:rPr>
        <w:instrText xml:space="preserve">REF _Ref38272910 \h</w:instrText>
      </w:r>
      <w:r>
        <w:rPr>
          <w:rFonts w:cs="仿宋_GB2312"/>
          <w:szCs w:val="28"/>
        </w:rPr>
        <w:instrText xml:space="preserve">  \* MERGEFORMAT </w:instrText>
      </w:r>
      <w:r>
        <w:rPr>
          <w:rFonts w:cs="仿宋_GB2312"/>
          <w:szCs w:val="28"/>
        </w:rPr>
        <w:fldChar w:fldCharType="separate"/>
      </w:r>
      <w:r>
        <w:rPr>
          <w:rFonts w:cs="仿宋_GB2312"/>
          <w:szCs w:val="28"/>
        </w:rPr>
        <w:fldChar w:fldCharType="end"/>
      </w:r>
      <w:r>
        <w:rPr>
          <w:rFonts w:cs="仿宋_GB2312"/>
          <w:szCs w:val="28"/>
        </w:rPr>
        <w:t>4</w:t>
      </w:r>
      <w:r>
        <w:rPr>
          <w:rFonts w:hint="eastAsia" w:cs="仿宋_GB2312"/>
          <w:szCs w:val="28"/>
        </w:rPr>
        <w:t>。</w:t>
      </w:r>
    </w:p>
    <w:p>
      <w:pPr>
        <w:jc w:val="center"/>
        <w:rPr>
          <w:rFonts w:ascii="Cambria" w:hAnsi="Cambria" w:eastAsia="黑体" w:cs="Cambria"/>
          <w:sz w:val="20"/>
          <w:szCs w:val="20"/>
        </w:rPr>
      </w:pPr>
      <w:bookmarkStart w:id="51" w:name="_Ref13575068"/>
      <w:bookmarkStart w:id="52" w:name="_Ref12650688"/>
      <w:r>
        <w:drawing>
          <wp:inline distT="0" distB="0" distL="0" distR="0">
            <wp:extent cx="2088515" cy="1721485"/>
            <wp:effectExtent l="4445" t="4445" r="21590" b="762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Cambria" w:hAnsi="Cambria" w:eastAsia="黑体" w:cs="Cambria"/>
          <w:sz w:val="20"/>
          <w:szCs w:val="20"/>
        </w:rPr>
        <w:t xml:space="preserve">    </w:t>
      </w:r>
      <w:r>
        <w:drawing>
          <wp:inline distT="0" distB="0" distL="0" distR="0">
            <wp:extent cx="2240915" cy="1762125"/>
            <wp:effectExtent l="4445" t="4445" r="21590" b="5080"/>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Ansi="宋体"/>
          <w:szCs w:val="28"/>
        </w:rPr>
      </w:pPr>
      <w:bookmarkStart w:id="53" w:name="_Ref38272910"/>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4</w:t>
      </w:r>
      <w:bookmarkEnd w:id="51"/>
      <w:bookmarkEnd w:id="52"/>
      <w:bookmarkEnd w:id="53"/>
      <w:r>
        <w:rPr>
          <w:rFonts w:hint="eastAsia" w:ascii="方正仿宋简体" w:hAnsi="Cambria" w:eastAsia="方正仿宋简体" w:cs="方正仿宋简体"/>
          <w:b/>
          <w:bCs/>
          <w:sz w:val="20"/>
          <w:szCs w:val="20"/>
        </w:rPr>
        <w:t xml:space="preserve">  2019年与2020年产品标准公开情况对比</w:t>
      </w:r>
    </w:p>
    <w:p>
      <w:pPr>
        <w:spacing w:line="594" w:lineRule="exact"/>
        <w:ind w:firstLine="546" w:firstLineChars="200"/>
        <w:jc w:val="both"/>
        <w:rPr>
          <w:rFonts w:cs="仿宋_GB2312"/>
          <w:szCs w:val="28"/>
        </w:rPr>
      </w:pPr>
      <w:r>
        <w:rPr>
          <w:rFonts w:hint="eastAsia" w:hAnsi="Cambria" w:cs="仿宋_GB2312"/>
          <w:szCs w:val="28"/>
        </w:rPr>
        <w:t>截至2020年底，平台注册企业共</w:t>
      </w:r>
      <w:r>
        <w:rPr>
          <w:rFonts w:cs="仿宋_GB2312"/>
          <w:szCs w:val="28"/>
        </w:rPr>
        <w:t>341940</w:t>
      </w:r>
      <w:r>
        <w:rPr>
          <w:rFonts w:hint="eastAsia" w:cs="仿宋_GB2312"/>
          <w:szCs w:val="28"/>
        </w:rPr>
        <w:t>家</w:t>
      </w:r>
      <w:r>
        <w:rPr>
          <w:rFonts w:hint="eastAsia" w:hAnsi="Cambria" w:cs="仿宋_GB2312"/>
          <w:szCs w:val="28"/>
        </w:rPr>
        <w:t>，其中</w:t>
      </w:r>
      <w:r>
        <w:rPr>
          <w:rFonts w:cs="仿宋_GB2312"/>
          <w:szCs w:val="28"/>
        </w:rPr>
        <w:t>305592</w:t>
      </w:r>
      <w:r>
        <w:rPr>
          <w:rFonts w:hint="eastAsia" w:hAnsi="Cambria" w:cs="仿宋_GB2312"/>
          <w:szCs w:val="28"/>
        </w:rPr>
        <w:t>家企业通过平台自我声明公开</w:t>
      </w:r>
      <w:r>
        <w:rPr>
          <w:rFonts w:cs="仿宋_GB2312"/>
          <w:szCs w:val="28"/>
        </w:rPr>
        <w:t>1713107</w:t>
      </w:r>
      <w:r>
        <w:rPr>
          <w:rFonts w:hint="eastAsia" w:hAnsi="Cambria" w:cs="仿宋_GB2312"/>
          <w:szCs w:val="28"/>
        </w:rPr>
        <w:t>项标准，涵盖</w:t>
      </w:r>
      <w:r>
        <w:rPr>
          <w:rFonts w:cs="仿宋_GB2312"/>
          <w:szCs w:val="28"/>
        </w:rPr>
        <w:t>2920229</w:t>
      </w:r>
      <w:r>
        <w:rPr>
          <w:rFonts w:hint="eastAsia" w:hAnsi="Cambria" w:cs="仿宋_GB2312"/>
          <w:szCs w:val="28"/>
        </w:rPr>
        <w:t>种产品。</w:t>
      </w:r>
    </w:p>
    <w:p>
      <w:pPr>
        <w:spacing w:line="594" w:lineRule="exact"/>
        <w:ind w:firstLine="546" w:firstLineChars="200"/>
        <w:outlineLvl w:val="1"/>
        <w:rPr>
          <w:rFonts w:ascii="楷体_GB2312" w:eastAsia="楷体_GB2312" w:cs="楷体_GB2312"/>
          <w:b/>
          <w:bCs/>
          <w:szCs w:val="28"/>
        </w:rPr>
      </w:pPr>
      <w:bookmarkStart w:id="54" w:name="_Toc74580123"/>
      <w:bookmarkStart w:id="55" w:name="_Toc74579958"/>
      <w:r>
        <w:rPr>
          <w:rFonts w:hint="eastAsia" w:ascii="楷体_GB2312" w:eastAsia="楷体_GB2312" w:cs="楷体_GB2312"/>
          <w:b/>
          <w:bCs/>
          <w:szCs w:val="28"/>
        </w:rPr>
        <w:t>（六）标准化技术组织</w:t>
      </w:r>
      <w:bookmarkEnd w:id="54"/>
      <w:bookmarkEnd w:id="55"/>
    </w:p>
    <w:p>
      <w:pPr>
        <w:spacing w:line="594" w:lineRule="exact"/>
        <w:ind w:firstLine="546" w:firstLineChars="200"/>
        <w:jc w:val="both"/>
        <w:rPr>
          <w:rFonts w:hAnsi="Cambria" w:cs="仿宋_GB2312"/>
          <w:szCs w:val="28"/>
        </w:rPr>
      </w:pPr>
      <w:r>
        <w:rPr>
          <w:rFonts w:hint="eastAsia" w:cs="仿宋_GB2312"/>
          <w:szCs w:val="28"/>
        </w:rPr>
        <w:t>2020</w:t>
      </w:r>
      <w:r>
        <w:rPr>
          <w:rFonts w:hint="eastAsia" w:hAnsi="Cambria" w:cs="仿宋_GB2312"/>
          <w:szCs w:val="28"/>
        </w:rPr>
        <w:t>年，新成立全国专业标准化技术委员会</w:t>
      </w:r>
      <w:r>
        <w:rPr>
          <w:rFonts w:hint="eastAsia" w:hAnsi="Cambria" w:cs="仿宋_GB2312"/>
          <w:szCs w:val="28"/>
          <w:lang w:val="en-US" w:eastAsia="zh-CN"/>
        </w:rPr>
        <w:t>23个，其中</w:t>
      </w:r>
      <w:r>
        <w:rPr>
          <w:rFonts w:hint="eastAsia" w:hAnsi="Cambria" w:cs="仿宋_GB2312"/>
          <w:szCs w:val="28"/>
        </w:rPr>
        <w:t>技术委员会（TC）</w:t>
      </w:r>
      <w:r>
        <w:rPr>
          <w:rFonts w:hAnsi="Cambria" w:cs="仿宋_GB2312"/>
          <w:szCs w:val="28"/>
        </w:rPr>
        <w:t>3</w:t>
      </w:r>
      <w:r>
        <w:rPr>
          <w:rFonts w:hint="eastAsia" w:hAnsi="Cambria" w:cs="仿宋_GB2312"/>
          <w:szCs w:val="28"/>
        </w:rPr>
        <w:t>个，分技术委员会（SC）</w:t>
      </w:r>
      <w:r>
        <w:rPr>
          <w:rFonts w:hAnsi="Cambria" w:cs="仿宋_GB2312"/>
          <w:szCs w:val="28"/>
        </w:rPr>
        <w:t>17</w:t>
      </w:r>
      <w:r>
        <w:rPr>
          <w:rFonts w:hint="eastAsia" w:hAnsi="Cambria" w:cs="仿宋_GB2312"/>
          <w:szCs w:val="28"/>
        </w:rPr>
        <w:t>个，</w:t>
      </w:r>
      <w:r>
        <w:rPr>
          <w:rFonts w:hint="eastAsia" w:hAnsi="Cambria" w:cs="仿宋_GB2312"/>
          <w:szCs w:val="28"/>
          <w:lang w:eastAsia="zh-CN"/>
        </w:rPr>
        <w:t>标准化</w:t>
      </w:r>
      <w:r>
        <w:rPr>
          <w:rFonts w:hint="eastAsia" w:hAnsi="Cambria" w:cs="仿宋_GB2312"/>
          <w:szCs w:val="28"/>
        </w:rPr>
        <w:t>工作组（SWG）</w:t>
      </w:r>
      <w:r>
        <w:rPr>
          <w:rFonts w:hAnsi="Cambria" w:cs="仿宋_GB2312"/>
          <w:szCs w:val="28"/>
        </w:rPr>
        <w:t>3</w:t>
      </w:r>
      <w:r>
        <w:rPr>
          <w:rFonts w:hint="eastAsia" w:hAnsi="Cambria" w:cs="仿宋_GB2312"/>
          <w:szCs w:val="28"/>
        </w:rPr>
        <w:t>个</w:t>
      </w:r>
      <w:r>
        <w:rPr>
          <w:rFonts w:hint="eastAsia" w:cs="仿宋_GB2312"/>
          <w:szCs w:val="28"/>
        </w:rPr>
        <w:t>，</w:t>
      </w:r>
      <w:r>
        <w:rPr>
          <w:rFonts w:hint="eastAsia" w:cs="仿宋_GB2312"/>
          <w:szCs w:val="28"/>
          <w:lang w:eastAsia="zh-CN"/>
        </w:rPr>
        <w:t>具体</w:t>
      </w:r>
      <w:r>
        <w:rPr>
          <w:rFonts w:cs="仿宋_GB2312"/>
          <w:szCs w:val="28"/>
        </w:rPr>
        <w:t>情况见图5</w:t>
      </w:r>
      <w:r>
        <w:rPr>
          <w:rFonts w:hint="eastAsia" w:hAnsi="Cambria" w:cs="仿宋_GB2312"/>
          <w:szCs w:val="28"/>
        </w:rPr>
        <w:t>。通过考核、体系优化等多种方式，共撤销各类标准化技术组织17个，其中TC10个，SC6个，SWG1个。</w:t>
      </w:r>
    </w:p>
    <w:p>
      <w:pPr>
        <w:spacing w:line="594" w:lineRule="exact"/>
        <w:ind w:firstLine="386" w:firstLineChars="200"/>
        <w:jc w:val="both"/>
        <w:rPr>
          <w:rFonts w:cs="仿宋_GB2312"/>
          <w:szCs w:val="28"/>
        </w:rPr>
      </w:pPr>
      <w:r>
        <w:rPr>
          <w:rFonts w:ascii="方正仿宋简体" w:hAnsi="Cambria" w:eastAsia="方正仿宋简体" w:cs="方正仿宋简体"/>
          <w:sz w:val="20"/>
          <w:szCs w:val="20"/>
        </w:rPr>
        <mc:AlternateContent>
          <mc:Choice Requires="wps">
            <w:drawing>
              <wp:anchor distT="45720" distB="45720" distL="114300" distR="114300" simplePos="0" relativeHeight="251660288" behindDoc="0" locked="0" layoutInCell="1" allowOverlap="1">
                <wp:simplePos x="0" y="0"/>
                <wp:positionH relativeFrom="column">
                  <wp:posOffset>3096895</wp:posOffset>
                </wp:positionH>
                <wp:positionV relativeFrom="paragraph">
                  <wp:posOffset>3799840</wp:posOffset>
                </wp:positionV>
                <wp:extent cx="2355215" cy="349885"/>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55215" cy="349885"/>
                        </a:xfrm>
                        <a:prstGeom prst="rect">
                          <a:avLst/>
                        </a:prstGeom>
                        <a:noFill/>
                        <a:ln w="9525">
                          <a:noFill/>
                          <a:miter lim="800000"/>
                        </a:ln>
                      </wps:spPr>
                      <wps:txbx>
                        <w:txbxContent>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6</w:t>
                            </w:r>
                            <w:r>
                              <w:rPr>
                                <w:rFonts w:hint="eastAsia" w:ascii="方正仿宋简体" w:hAnsi="Cambria" w:eastAsia="方正仿宋简体" w:cs="方正仿宋简体"/>
                                <w:b/>
                                <w:bCs/>
                                <w:sz w:val="20"/>
                                <w:szCs w:val="20"/>
                              </w:rPr>
                              <w:t xml:space="preserve">  技术委员会产业分布情况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3.85pt;margin-top:299.2pt;height:27.55pt;width:185.45pt;mso-wrap-distance-bottom:3.6pt;mso-wrap-distance-left:9pt;mso-wrap-distance-right:9pt;mso-wrap-distance-top:3.6pt;z-index:251660288;mso-width-relative:page;mso-height-relative:page;" filled="f" stroked="f" coordsize="21600,21600" o:gfxdata="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JlG+2QAAAAsBAAAPAAAAAAAAAAEAIAAAACIAAABkcnMvZG93bnJldi54bWxQSwECFAAUAAAACACH&#10;TuJA/+iwqSMCAAApBAAADgAAAAAAAAABACAAAAAoAQAAZHJzL2Uyb0RvYy54bWxQSwUGAAAAAAYA&#10;BgBZAQAAvQUAAAAA&#10;">
                <v:fill on="f" focussize="0,0"/>
                <v:stroke on="f" miterlimit="8" joinstyle="miter"/>
                <v:imagedata o:title=""/>
                <o:lock v:ext="edit" aspectratio="f"/>
                <v:textbox>
                  <w:txbxContent>
                    <w:p>
                      <w:pPr>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6</w:t>
                      </w:r>
                      <w:r>
                        <w:rPr>
                          <w:rFonts w:hint="eastAsia" w:ascii="方正仿宋简体" w:hAnsi="Cambria" w:eastAsia="方正仿宋简体" w:cs="方正仿宋简体"/>
                          <w:b/>
                          <w:bCs/>
                          <w:sz w:val="20"/>
                          <w:szCs w:val="20"/>
                        </w:rPr>
                        <w:t xml:space="preserve">  技术委员会产业分布情况</w:t>
                      </w:r>
                    </w:p>
                  </w:txbxContent>
                </v:textbox>
                <w10:wrap type="square"/>
              </v:shape>
            </w:pict>
          </mc:Fallback>
        </mc:AlternateContent>
      </w:r>
      <w:r>
        <w:rPr>
          <w:rFonts w:ascii="Cambria" w:hAnsi="Cambria" w:eastAsia="黑体" w:cs="Cambria"/>
          <w:sz w:val="20"/>
          <w:szCs w:val="20"/>
        </w:rPr>
        <w:drawing>
          <wp:anchor distT="0" distB="0" distL="0" distR="0" simplePos="0" relativeHeight="251662336" behindDoc="0" locked="0" layoutInCell="1" allowOverlap="1">
            <wp:simplePos x="0" y="0"/>
            <wp:positionH relativeFrom="column">
              <wp:posOffset>282575</wp:posOffset>
            </wp:positionH>
            <wp:positionV relativeFrom="paragraph">
              <wp:posOffset>2029460</wp:posOffset>
            </wp:positionV>
            <wp:extent cx="2545715" cy="1851660"/>
            <wp:effectExtent l="4445" t="4445" r="21590" b="10795"/>
            <wp:wrapTopAndBottom/>
            <wp:docPr id="7" name="图表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drawing>
          <wp:anchor distT="0" distB="0" distL="0" distR="0" simplePos="0" relativeHeight="251663360" behindDoc="0" locked="0" layoutInCell="1" allowOverlap="1">
            <wp:simplePos x="0" y="0"/>
            <wp:positionH relativeFrom="column">
              <wp:posOffset>3040380</wp:posOffset>
            </wp:positionH>
            <wp:positionV relativeFrom="paragraph">
              <wp:posOffset>2008505</wp:posOffset>
            </wp:positionV>
            <wp:extent cx="2461260" cy="1870710"/>
            <wp:effectExtent l="0" t="0" r="15240" b="15240"/>
            <wp:wrapTopAndBottom/>
            <wp:docPr id="3"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hAnsi="Cambria" w:cs="仿宋_GB2312"/>
          <w:szCs w:val="28"/>
        </w:rPr>
        <w:t>截至2020年底，全国专业标准化技术委员会共</w:t>
      </w:r>
      <w:r>
        <w:rPr>
          <w:rFonts w:hAnsi="宋体" w:cs="仿宋_GB2312"/>
          <w:szCs w:val="28"/>
        </w:rPr>
        <w:t>1330</w:t>
      </w:r>
      <w:r>
        <w:rPr>
          <w:rFonts w:hint="eastAsia" w:hAnsi="Cambria" w:cs="仿宋_GB2312"/>
          <w:szCs w:val="28"/>
        </w:rPr>
        <w:t>个，包括</w:t>
      </w:r>
      <w:r>
        <w:rPr>
          <w:rFonts w:hAnsi="宋体" w:cs="仿宋_GB2312"/>
          <w:szCs w:val="28"/>
        </w:rPr>
        <w:t>545</w:t>
      </w:r>
      <w:r>
        <w:rPr>
          <w:rFonts w:hint="eastAsia" w:hAnsi="Cambria" w:cs="仿宋_GB2312"/>
          <w:szCs w:val="28"/>
        </w:rPr>
        <w:t>个TC，</w:t>
      </w:r>
      <w:r>
        <w:rPr>
          <w:rFonts w:hAnsi="Cambria" w:cs="仿宋_GB2312"/>
          <w:szCs w:val="28"/>
        </w:rPr>
        <w:t>771</w:t>
      </w:r>
      <w:r>
        <w:rPr>
          <w:rFonts w:hint="eastAsia" w:cs="仿宋_GB2312"/>
          <w:szCs w:val="28"/>
        </w:rPr>
        <w:t>个SC和</w:t>
      </w:r>
      <w:r>
        <w:rPr>
          <w:rFonts w:cs="仿宋_GB2312"/>
          <w:szCs w:val="28"/>
        </w:rPr>
        <w:t>14</w:t>
      </w:r>
      <w:r>
        <w:rPr>
          <w:rFonts w:hint="eastAsia" w:cs="仿宋_GB2312"/>
          <w:szCs w:val="28"/>
        </w:rPr>
        <w:t>个SWG。按产业划分，第一产业技术委员会</w:t>
      </w:r>
      <w:r>
        <w:rPr>
          <w:rFonts w:cs="仿宋_GB2312"/>
          <w:szCs w:val="28"/>
        </w:rPr>
        <w:t>100</w:t>
      </w:r>
      <w:r>
        <w:rPr>
          <w:rFonts w:hint="eastAsia" w:cs="仿宋_GB2312"/>
          <w:szCs w:val="28"/>
        </w:rPr>
        <w:t>个，占比</w:t>
      </w:r>
      <w:r>
        <w:rPr>
          <w:rFonts w:cs="仿宋_GB2312"/>
          <w:szCs w:val="28"/>
        </w:rPr>
        <w:t>7.52%</w:t>
      </w:r>
      <w:r>
        <w:rPr>
          <w:rFonts w:hint="eastAsia" w:cs="仿宋_GB2312"/>
          <w:szCs w:val="28"/>
        </w:rPr>
        <w:t>；第二产业技术委员会</w:t>
      </w:r>
      <w:r>
        <w:rPr>
          <w:rFonts w:cs="仿宋_GB2312"/>
          <w:szCs w:val="28"/>
        </w:rPr>
        <w:t>1018</w:t>
      </w:r>
      <w:r>
        <w:rPr>
          <w:rFonts w:hint="eastAsia" w:cs="仿宋_GB2312"/>
          <w:szCs w:val="28"/>
        </w:rPr>
        <w:t>个，占比76.</w:t>
      </w:r>
      <w:r>
        <w:rPr>
          <w:rFonts w:cs="仿宋_GB2312"/>
          <w:szCs w:val="28"/>
        </w:rPr>
        <w:t>54</w:t>
      </w:r>
      <w:r>
        <w:rPr>
          <w:rFonts w:hint="eastAsia" w:cs="仿宋_GB2312"/>
          <w:szCs w:val="28"/>
        </w:rPr>
        <w:t>%；第三产业技术委员会</w:t>
      </w:r>
      <w:r>
        <w:rPr>
          <w:rFonts w:cs="仿宋_GB2312"/>
          <w:szCs w:val="28"/>
        </w:rPr>
        <w:t>178</w:t>
      </w:r>
      <w:r>
        <w:rPr>
          <w:rFonts w:hint="eastAsia" w:cs="仿宋_GB2312"/>
          <w:szCs w:val="28"/>
        </w:rPr>
        <w:t>个，占比13.</w:t>
      </w:r>
      <w:r>
        <w:rPr>
          <w:rFonts w:cs="仿宋_GB2312"/>
          <w:szCs w:val="28"/>
        </w:rPr>
        <w:t>38</w:t>
      </w:r>
      <w:r>
        <w:rPr>
          <w:rFonts w:hint="eastAsia" w:cs="仿宋_GB2312"/>
          <w:szCs w:val="28"/>
        </w:rPr>
        <w:t>%；社会公共事业技术委员会34个，占比2.5</w:t>
      </w:r>
      <w:r>
        <w:rPr>
          <w:rFonts w:cs="仿宋_GB2312"/>
          <w:szCs w:val="28"/>
        </w:rPr>
        <w:t>6</w:t>
      </w:r>
      <w:r>
        <w:rPr>
          <w:rFonts w:hint="eastAsia" w:cs="仿宋_GB2312"/>
          <w:szCs w:val="28"/>
        </w:rPr>
        <w:t>%，</w:t>
      </w:r>
      <w:r>
        <w:rPr>
          <w:rFonts w:hint="eastAsia" w:cs="仿宋_GB2312"/>
          <w:szCs w:val="28"/>
          <w:lang w:eastAsia="zh-CN"/>
        </w:rPr>
        <w:t>具体</w:t>
      </w:r>
      <w:r>
        <w:rPr>
          <w:rFonts w:hint="eastAsia" w:cs="仿宋_GB2312"/>
          <w:szCs w:val="28"/>
        </w:rPr>
        <w:t>情况见图</w:t>
      </w:r>
      <w:r>
        <w:rPr>
          <w:rFonts w:cs="仿宋_GB2312"/>
          <w:szCs w:val="28"/>
        </w:rPr>
        <w:t>6</w:t>
      </w:r>
      <w:r>
        <w:rPr>
          <w:rFonts w:hint="eastAsia" w:cs="仿宋_GB2312"/>
          <w:szCs w:val="28"/>
        </w:rPr>
        <w:t>。</w:t>
      </w:r>
    </w:p>
    <w:p>
      <w:pPr>
        <w:spacing w:line="594" w:lineRule="exact"/>
        <w:ind w:firstLine="546" w:firstLineChars="200"/>
        <w:outlineLvl w:val="1"/>
        <w:rPr>
          <w:rFonts w:hint="eastAsia" w:ascii="楷体_GB2312" w:eastAsia="楷体_GB2312" w:cs="楷体_GB2312"/>
          <w:b/>
          <w:bCs/>
          <w:szCs w:val="28"/>
        </w:rPr>
      </w:pPr>
      <w:r>
        <w:rPr>
          <w:rFonts w:hint="eastAsia" w:ascii="楷体_GB2312" w:eastAsia="楷体_GB2312" w:cs="楷体_GB2312"/>
          <w:b/>
          <w:bCs/>
          <w:szCs w:val="28"/>
        </w:rPr>
        <mc:AlternateContent>
          <mc:Choice Requires="wps">
            <w:drawing>
              <wp:anchor distT="45720" distB="45720" distL="114300" distR="114300" simplePos="0" relativeHeight="251661312" behindDoc="0" locked="0" layoutInCell="1" allowOverlap="1">
                <wp:simplePos x="0" y="0"/>
                <wp:positionH relativeFrom="column">
                  <wp:posOffset>100330</wp:posOffset>
                </wp:positionH>
                <wp:positionV relativeFrom="paragraph">
                  <wp:posOffset>1909445</wp:posOffset>
                </wp:positionV>
                <wp:extent cx="2905760" cy="424815"/>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05760" cy="424815"/>
                        </a:xfrm>
                        <a:prstGeom prst="rect">
                          <a:avLst/>
                        </a:prstGeom>
                        <a:noFill/>
                        <a:ln w="9525">
                          <a:noFill/>
                          <a:miter lim="800000"/>
                        </a:ln>
                      </wps:spPr>
                      <wps:txbx>
                        <w:txbxContent>
                          <w:p>
                            <w:pPr>
                              <w:spacing w:line="480" w:lineRule="auto"/>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5</w:t>
                            </w:r>
                            <w:r>
                              <w:rPr>
                                <w:rFonts w:hint="eastAsia" w:ascii="方正仿宋简体" w:hAnsi="Cambria" w:eastAsia="方正仿宋简体" w:cs="方正仿宋简体"/>
                                <w:b/>
                                <w:bCs/>
                                <w:sz w:val="20"/>
                                <w:szCs w:val="20"/>
                              </w:rPr>
                              <w:t xml:space="preserve">  2019年与2020年</w:t>
                            </w:r>
                            <w:r>
                              <w:rPr>
                                <w:rFonts w:hint="eastAsia" w:ascii="方正仿宋简体" w:hAnsi="Cambria" w:eastAsia="方正仿宋简体" w:cs="方正仿宋简体"/>
                                <w:b/>
                                <w:bCs/>
                                <w:sz w:val="20"/>
                                <w:szCs w:val="20"/>
                                <w:lang w:eastAsia="zh-CN"/>
                              </w:rPr>
                              <w:t>成立</w:t>
                            </w:r>
                            <w:r>
                              <w:rPr>
                                <w:rFonts w:hint="eastAsia" w:ascii="方正仿宋简体" w:hAnsi="Cambria" w:eastAsia="方正仿宋简体" w:cs="方正仿宋简体"/>
                                <w:b/>
                                <w:bCs/>
                                <w:sz w:val="20"/>
                                <w:szCs w:val="20"/>
                              </w:rPr>
                              <w:t>技术委员会</w:t>
                            </w:r>
                            <w:r>
                              <w:rPr>
                                <w:rFonts w:ascii="方正仿宋简体" w:hAnsi="Cambria" w:eastAsia="方正仿宋简体" w:cs="方正仿宋简体"/>
                                <w:b/>
                                <w:bCs/>
                                <w:sz w:val="20"/>
                                <w:szCs w:val="20"/>
                              </w:rPr>
                              <w:t>数量对比</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9pt;margin-top:150.35pt;height:33.45pt;width:228.8pt;mso-wrap-distance-bottom:3.6pt;mso-wrap-distance-left:9pt;mso-wrap-distance-right:9pt;mso-wrap-distance-top:3.6pt;z-index:251661312;mso-width-relative:page;mso-height-relative:page;" filled="f" stroked="f" coordsize="21600,21600" o:gfxdata="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6Ovq&#10;1wAAAAoBAAAPAAAAAAAAAAEAIAAAACIAAABkcnMvZG93bnJldi54bWxQSwECFAAUAAAACACHTuJA&#10;z+HB6CICAAApBAAADgAAAAAAAAABACAAAAAmAQAAZHJzL2Uyb0RvYy54bWxQSwUGAAAAAAYABgBZ&#10;AQAAugUAAAAA&#10;">
                <v:fill on="f" focussize="0,0"/>
                <v:stroke on="f" miterlimit="8" joinstyle="miter"/>
                <v:imagedata o:title=""/>
                <o:lock v:ext="edit" aspectratio="f"/>
                <v:textbox>
                  <w:txbxContent>
                    <w:p>
                      <w:pPr>
                        <w:spacing w:line="480" w:lineRule="auto"/>
                        <w:jc w:val="center"/>
                        <w:rPr>
                          <w:rFonts w:ascii="方正仿宋简体" w:hAnsi="Cambria" w:eastAsia="方正仿宋简体" w:cs="方正仿宋简体"/>
                          <w:b/>
                          <w:bCs/>
                          <w:sz w:val="20"/>
                          <w:szCs w:val="20"/>
                        </w:rP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5</w:t>
                      </w:r>
                      <w:r>
                        <w:rPr>
                          <w:rFonts w:hint="eastAsia" w:ascii="方正仿宋简体" w:hAnsi="Cambria" w:eastAsia="方正仿宋简体" w:cs="方正仿宋简体"/>
                          <w:b/>
                          <w:bCs/>
                          <w:sz w:val="20"/>
                          <w:szCs w:val="20"/>
                        </w:rPr>
                        <w:t xml:space="preserve">  2019年与2020年</w:t>
                      </w:r>
                      <w:r>
                        <w:rPr>
                          <w:rFonts w:hint="eastAsia" w:ascii="方正仿宋简体" w:hAnsi="Cambria" w:eastAsia="方正仿宋简体" w:cs="方正仿宋简体"/>
                          <w:b/>
                          <w:bCs/>
                          <w:sz w:val="20"/>
                          <w:szCs w:val="20"/>
                          <w:lang w:eastAsia="zh-CN"/>
                        </w:rPr>
                        <w:t>成立</w:t>
                      </w:r>
                      <w:r>
                        <w:rPr>
                          <w:rFonts w:hint="eastAsia" w:ascii="方正仿宋简体" w:hAnsi="Cambria" w:eastAsia="方正仿宋简体" w:cs="方正仿宋简体"/>
                          <w:b/>
                          <w:bCs/>
                          <w:sz w:val="20"/>
                          <w:szCs w:val="20"/>
                        </w:rPr>
                        <w:t>技术委员会</w:t>
                      </w:r>
                      <w:r>
                        <w:rPr>
                          <w:rFonts w:ascii="方正仿宋简体" w:hAnsi="Cambria" w:eastAsia="方正仿宋简体" w:cs="方正仿宋简体"/>
                          <w:b/>
                          <w:bCs/>
                          <w:sz w:val="20"/>
                          <w:szCs w:val="20"/>
                        </w:rPr>
                        <w:t>数量对比</w:t>
                      </w:r>
                    </w:p>
                  </w:txbxContent>
                </v:textbox>
                <w10:wrap type="square"/>
              </v:shape>
            </w:pict>
          </mc:Fallback>
        </mc:AlternateContent>
      </w:r>
      <w:bookmarkStart w:id="56" w:name="_Toc74580124"/>
      <w:bookmarkStart w:id="57" w:name="_Toc74579959"/>
      <w:r>
        <w:rPr>
          <w:rFonts w:hint="eastAsia" w:ascii="楷体_GB2312" w:eastAsia="楷体_GB2312" w:cs="楷体_GB2312"/>
          <w:b/>
          <w:bCs/>
          <w:szCs w:val="28"/>
        </w:rPr>
        <w:t>（七）标准化试点示范</w:t>
      </w:r>
      <w:bookmarkEnd w:id="56"/>
      <w:bookmarkEnd w:id="57"/>
    </w:p>
    <w:p>
      <w:pPr>
        <w:spacing w:line="594" w:lineRule="exact"/>
        <w:ind w:firstLine="546" w:firstLineChars="200"/>
        <w:jc w:val="both"/>
        <w:rPr>
          <w:rFonts w:cs="仿宋_GB2312"/>
          <w:szCs w:val="28"/>
        </w:rPr>
      </w:pPr>
      <w:r>
        <w:rPr>
          <w:rFonts w:hint="eastAsia" w:cs="仿宋_GB2312"/>
          <w:szCs w:val="28"/>
        </w:rPr>
        <w:t>2020年，各地开展国家级标准化试点示范建设项目279个。与2019年相比，国家级标准化试点示范项目增加122个，对比情况</w:t>
      </w:r>
      <w:r>
        <w:rPr>
          <w:rFonts w:cs="仿宋_GB2312"/>
          <w:szCs w:val="28"/>
        </w:rPr>
        <w:t>见图7</w:t>
      </w:r>
      <w:r>
        <w:rPr>
          <w:rFonts w:hint="eastAsia" w:cs="仿宋_GB2312"/>
          <w:szCs w:val="28"/>
        </w:rPr>
        <w:t>。截至2020年底，各地开展国家级标准化试点示范项目6992个。</w:t>
      </w:r>
    </w:p>
    <w:p>
      <w:pPr>
        <w:bidi w:val="0"/>
        <w:jc w:val="center"/>
      </w:pPr>
      <w:r>
        <w:drawing>
          <wp:inline distT="0" distB="0" distL="0" distR="0">
            <wp:extent cx="2484755" cy="1807210"/>
            <wp:effectExtent l="0" t="0" r="10795" b="2540"/>
            <wp:docPr id="5" name="图表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2"/>
        <w:ind w:firstLine="386" w:firstLineChars="200"/>
        <w:jc w:val="center"/>
      </w:pPr>
      <w:r>
        <w:rPr>
          <w:rFonts w:hint="eastAsia" w:ascii="方正仿宋简体" w:hAnsi="Cambria" w:eastAsia="方正仿宋简体" w:cs="方正仿宋简体"/>
          <w:b/>
          <w:bCs/>
          <w:sz w:val="20"/>
          <w:szCs w:val="20"/>
        </w:rPr>
        <w:t>图</w:t>
      </w:r>
      <w:r>
        <w:rPr>
          <w:rFonts w:ascii="方正仿宋简体" w:hAnsi="Cambria" w:eastAsia="方正仿宋简体" w:cs="方正仿宋简体"/>
          <w:b/>
          <w:bCs/>
          <w:sz w:val="20"/>
          <w:szCs w:val="20"/>
        </w:rPr>
        <w:t>7</w:t>
      </w:r>
      <w:r>
        <w:rPr>
          <w:rFonts w:hint="eastAsia" w:ascii="方正仿宋简体" w:hAnsi="Cambria" w:eastAsia="方正仿宋简体" w:cs="方正仿宋简体"/>
          <w:b/>
          <w:bCs/>
          <w:sz w:val="20"/>
          <w:szCs w:val="20"/>
        </w:rPr>
        <w:t xml:space="preserve">  2019年与2020年国家级标准化试点示范建设项目数量对比</w:t>
      </w:r>
    </w:p>
    <w:p>
      <w:pPr>
        <w:spacing w:line="594" w:lineRule="exact"/>
        <w:ind w:firstLine="546" w:firstLineChars="200"/>
        <w:outlineLvl w:val="1"/>
        <w:rPr>
          <w:rFonts w:ascii="楷体_GB2312" w:eastAsia="楷体_GB2312" w:cs="楷体_GB2312"/>
          <w:b/>
          <w:bCs/>
          <w:szCs w:val="28"/>
        </w:rPr>
      </w:pPr>
      <w:bookmarkStart w:id="58" w:name="_Toc74579960"/>
      <w:bookmarkStart w:id="59" w:name="_Toc74580125"/>
      <w:r>
        <w:rPr>
          <w:rFonts w:hint="eastAsia" w:ascii="楷体_GB2312" w:eastAsia="楷体_GB2312" w:cs="楷体_GB2312"/>
          <w:b/>
          <w:bCs/>
          <w:szCs w:val="28"/>
        </w:rPr>
        <w:t>（八）标准国际化</w:t>
      </w:r>
      <w:bookmarkEnd w:id="58"/>
      <w:bookmarkEnd w:id="59"/>
    </w:p>
    <w:p>
      <w:pPr>
        <w:spacing w:line="594" w:lineRule="exact"/>
        <w:ind w:firstLine="546" w:firstLineChars="200"/>
        <w:jc w:val="both"/>
        <w:rPr>
          <w:rFonts w:cs="仿宋_GB2312"/>
          <w:szCs w:val="28"/>
        </w:rPr>
      </w:pPr>
      <w:r>
        <w:rPr>
          <w:rFonts w:cs="仿宋_GB2312"/>
          <w:szCs w:val="28"/>
        </w:rPr>
        <w:t>2020</w:t>
      </w:r>
      <w:r>
        <w:rPr>
          <w:rFonts w:hint="eastAsia" w:cs="仿宋_GB2312"/>
          <w:szCs w:val="28"/>
        </w:rPr>
        <w:t>年，我国新承担国际标准化组织（</w:t>
      </w:r>
      <w:r>
        <w:rPr>
          <w:rFonts w:cs="仿宋_GB2312"/>
          <w:szCs w:val="28"/>
        </w:rPr>
        <w:t>ISO</w:t>
      </w:r>
      <w:r>
        <w:rPr>
          <w:rFonts w:hint="eastAsia" w:cs="仿宋_GB2312"/>
          <w:szCs w:val="28"/>
        </w:rPr>
        <w:t>）、国际电工委员会</w:t>
      </w:r>
      <w:r>
        <w:rPr>
          <w:rFonts w:cs="仿宋_GB2312"/>
          <w:szCs w:val="28"/>
        </w:rPr>
        <w:t>(IEC)</w:t>
      </w:r>
      <w:r>
        <w:rPr>
          <w:rFonts w:hint="eastAsia" w:cs="仿宋_GB2312"/>
          <w:szCs w:val="28"/>
        </w:rPr>
        <w:t>技术机构主席、副主席</w:t>
      </w:r>
      <w:r>
        <w:rPr>
          <w:rFonts w:cs="仿宋_GB2312"/>
          <w:szCs w:val="28"/>
        </w:rPr>
        <w:t>6</w:t>
      </w:r>
      <w:r>
        <w:rPr>
          <w:rFonts w:hint="eastAsia" w:cs="仿宋_GB2312"/>
          <w:szCs w:val="28"/>
        </w:rPr>
        <w:t>个、秘书处</w:t>
      </w:r>
      <w:r>
        <w:rPr>
          <w:rFonts w:cs="仿宋_GB2312"/>
          <w:szCs w:val="28"/>
        </w:rPr>
        <w:t>4</w:t>
      </w:r>
      <w:r>
        <w:rPr>
          <w:rFonts w:hint="eastAsia" w:cs="仿宋_GB2312"/>
          <w:szCs w:val="28"/>
        </w:rPr>
        <w:t>个。</w:t>
      </w:r>
    </w:p>
    <w:p>
      <w:pPr>
        <w:spacing w:line="594" w:lineRule="exact"/>
        <w:ind w:firstLine="546" w:firstLineChars="200"/>
        <w:jc w:val="both"/>
        <w:rPr>
          <w:rFonts w:hAnsi="Cambria" w:cs="仿宋_GB2312"/>
          <w:szCs w:val="28"/>
        </w:rPr>
      </w:pPr>
      <w:r>
        <w:rPr>
          <w:rFonts w:hint="eastAsia" w:hAnsi="宋体" w:cs="仿宋_GB2312"/>
          <w:szCs w:val="28"/>
        </w:rPr>
        <w:t>2</w:t>
      </w:r>
      <w:r>
        <w:rPr>
          <w:rFonts w:hAnsi="宋体" w:cs="仿宋_GB2312"/>
          <w:szCs w:val="28"/>
        </w:rPr>
        <w:t>020</w:t>
      </w:r>
      <w:r>
        <w:rPr>
          <w:rFonts w:hint="eastAsia" w:hAnsi="宋体" w:cs="仿宋_GB2312"/>
          <w:szCs w:val="28"/>
        </w:rPr>
        <w:t>年，东北亚、中德、中欧、中英等标准化合作机制持续深化，累计召开双多边标准化活动50余场次。</w:t>
      </w:r>
      <w:r>
        <w:rPr>
          <w:rFonts w:hint="eastAsia" w:hAnsi="Cambria" w:cs="仿宋_GB2312"/>
          <w:szCs w:val="28"/>
        </w:rPr>
        <w:t>批准发布国家标准外文版</w:t>
      </w:r>
      <w:r>
        <w:rPr>
          <w:rFonts w:hAnsi="宋体" w:cs="仿宋_GB2312"/>
          <w:szCs w:val="28"/>
        </w:rPr>
        <w:t>209</w:t>
      </w:r>
      <w:r>
        <w:rPr>
          <w:rFonts w:hint="eastAsia" w:hAnsi="Cambria" w:cs="仿宋_GB2312"/>
          <w:szCs w:val="28"/>
        </w:rPr>
        <w:t>项，涵盖</w:t>
      </w:r>
      <w:r>
        <w:rPr>
          <w:rFonts w:hint="eastAsia" w:hAnsi="宋体" w:cs="仿宋_GB2312"/>
          <w:szCs w:val="28"/>
        </w:rPr>
        <w:t>医疗防疫、矿业、船舶、电工、电子、航空航天、机械、建筑</w:t>
      </w:r>
      <w:r>
        <w:rPr>
          <w:rFonts w:hint="eastAsia" w:hAnsi="Cambria" w:cs="仿宋_GB2312"/>
          <w:szCs w:val="28"/>
        </w:rPr>
        <w:t>等领域</w:t>
      </w:r>
      <w:r>
        <w:rPr>
          <w:rFonts w:hint="eastAsia" w:cs="仿宋_GB2312"/>
          <w:szCs w:val="28"/>
        </w:rPr>
        <w:t>。</w:t>
      </w:r>
    </w:p>
    <w:p>
      <w:pPr>
        <w:spacing w:line="594" w:lineRule="exact"/>
        <w:ind w:firstLine="546" w:firstLineChars="200"/>
        <w:jc w:val="both"/>
        <w:rPr>
          <w:rFonts w:cs="仿宋_GB2312"/>
          <w:szCs w:val="28"/>
        </w:rPr>
      </w:pPr>
      <w:r>
        <w:rPr>
          <w:rFonts w:hint="eastAsia" w:cs="仿宋_GB2312"/>
          <w:szCs w:val="28"/>
        </w:rPr>
        <w:t>截至</w:t>
      </w:r>
      <w:r>
        <w:rPr>
          <w:rFonts w:cs="仿宋_GB2312"/>
          <w:szCs w:val="28"/>
        </w:rPr>
        <w:t>2020</w:t>
      </w:r>
      <w:r>
        <w:rPr>
          <w:rFonts w:hint="eastAsia" w:cs="仿宋_GB2312"/>
          <w:szCs w:val="28"/>
        </w:rPr>
        <w:t>年底，我国已承担</w:t>
      </w:r>
      <w:r>
        <w:rPr>
          <w:rFonts w:cs="仿宋_GB2312"/>
          <w:szCs w:val="28"/>
        </w:rPr>
        <w:t>ISO</w:t>
      </w:r>
      <w:r>
        <w:rPr>
          <w:rFonts w:hint="eastAsia" w:cs="仿宋_GB2312"/>
          <w:szCs w:val="28"/>
        </w:rPr>
        <w:t>、</w:t>
      </w:r>
      <w:r>
        <w:rPr>
          <w:rFonts w:cs="仿宋_GB2312"/>
          <w:szCs w:val="28"/>
        </w:rPr>
        <w:t>IEC</w:t>
      </w:r>
      <w:r>
        <w:rPr>
          <w:rFonts w:hint="eastAsia" w:cs="仿宋_GB2312"/>
          <w:szCs w:val="28"/>
        </w:rPr>
        <w:t>技术机构主席副主席</w:t>
      </w:r>
      <w:r>
        <w:rPr>
          <w:rFonts w:cs="仿宋_GB2312"/>
          <w:szCs w:val="28"/>
        </w:rPr>
        <w:t>75</w:t>
      </w:r>
      <w:r>
        <w:rPr>
          <w:rFonts w:hint="eastAsia" w:cs="仿宋_GB2312"/>
          <w:szCs w:val="28"/>
        </w:rPr>
        <w:t>个、秘书处</w:t>
      </w:r>
      <w:r>
        <w:rPr>
          <w:rFonts w:cs="仿宋_GB2312"/>
          <w:szCs w:val="28"/>
        </w:rPr>
        <w:t>75</w:t>
      </w:r>
      <w:r>
        <w:rPr>
          <w:rFonts w:hint="eastAsia" w:cs="仿宋_GB2312"/>
          <w:szCs w:val="28"/>
        </w:rPr>
        <w:t>个，与</w:t>
      </w:r>
      <w:r>
        <w:rPr>
          <w:rFonts w:cs="仿宋_GB2312"/>
          <w:szCs w:val="28"/>
        </w:rPr>
        <w:t>54</w:t>
      </w:r>
      <w:r>
        <w:rPr>
          <w:rFonts w:hint="eastAsia" w:cs="仿宋_GB2312"/>
          <w:szCs w:val="28"/>
        </w:rPr>
        <w:t>个国家、地区标准化机构和国际组织签署了</w:t>
      </w:r>
      <w:r>
        <w:rPr>
          <w:rFonts w:cs="仿宋_GB2312"/>
          <w:szCs w:val="28"/>
        </w:rPr>
        <w:t>97</w:t>
      </w:r>
      <w:r>
        <w:rPr>
          <w:rFonts w:hint="eastAsia" w:cs="仿宋_GB2312"/>
          <w:szCs w:val="28"/>
        </w:rPr>
        <w:t>份标准化双多边合作文件，共发布国家标准外文版</w:t>
      </w:r>
      <w:r>
        <w:rPr>
          <w:rFonts w:cs="仿宋_GB2312"/>
          <w:szCs w:val="28"/>
        </w:rPr>
        <w:t>930</w:t>
      </w:r>
      <w:r>
        <w:rPr>
          <w:rFonts w:hint="eastAsia" w:cs="仿宋_GB2312"/>
          <w:szCs w:val="28"/>
        </w:rPr>
        <w:t>项。2020年围绕国际标准化人才培训需求，有针对性地开展国际标准化网上培训，举办8期“国际标准制定系列知识讲座”等线上培训，培训ISO、IEC对口单位、科研院所、企业、高校等标准化工作人员共1026人次。组织修订国际标准化培训教材，提高国际标准化培训质量。</w:t>
      </w:r>
    </w:p>
    <w:p>
      <w:pPr>
        <w:rPr>
          <w:rFonts w:ascii="黑体" w:hAnsi="黑体" w:eastAsia="黑体" w:cs="黑体"/>
          <w:sz w:val="32"/>
          <w:szCs w:val="32"/>
        </w:rPr>
      </w:pPr>
      <w:bookmarkStart w:id="60" w:name="_Toc6677"/>
      <w:bookmarkStart w:id="61" w:name="_Toc74579961"/>
      <w:bookmarkStart w:id="62" w:name="_Toc74734654"/>
      <w:r>
        <w:rPr>
          <w:rFonts w:hint="eastAsia" w:ascii="黑体" w:hAnsi="黑体" w:eastAsia="黑体" w:cs="黑体"/>
          <w:sz w:val="32"/>
          <w:szCs w:val="32"/>
        </w:rPr>
        <w:br w:type="page"/>
      </w:r>
    </w:p>
    <w:p>
      <w:pPr>
        <w:numPr>
          <w:ilvl w:val="0"/>
          <w:numId w:val="1"/>
        </w:numPr>
        <w:spacing w:line="594" w:lineRule="exact"/>
        <w:ind w:firstLine="626" w:firstLineChars="200"/>
        <w:outlineLvl w:val="0"/>
        <w:rPr>
          <w:rFonts w:ascii="黑体" w:hAnsi="黑体" w:eastAsia="黑体" w:cs="黑体"/>
          <w:sz w:val="32"/>
          <w:szCs w:val="32"/>
        </w:rPr>
      </w:pPr>
      <w:r>
        <w:rPr>
          <w:rFonts w:hint="eastAsia" w:ascii="黑体" w:hAnsi="黑体" w:eastAsia="黑体" w:cs="黑体"/>
          <w:sz w:val="32"/>
          <w:szCs w:val="32"/>
        </w:rPr>
        <w:t>重点工作</w:t>
      </w:r>
      <w:bookmarkEnd w:id="60"/>
      <w:bookmarkEnd w:id="61"/>
      <w:bookmarkEnd w:id="62"/>
      <w:bookmarkStart w:id="63" w:name="_Toc74580127"/>
      <w:bookmarkStart w:id="64" w:name="_Toc5354"/>
      <w:bookmarkStart w:id="65" w:name="_Toc74579962"/>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（一）标准化工作改革</w:t>
      </w:r>
      <w:bookmarkEnd w:id="63"/>
      <w:bookmarkEnd w:id="64"/>
      <w:bookmarkEnd w:id="65"/>
      <w:r>
        <w:rPr>
          <w:rFonts w:hint="eastAsia" w:ascii="楷体_GB2312" w:eastAsia="楷体_GB2312" w:cs="楷体_GB2312"/>
          <w:b/>
          <w:bCs/>
          <w:szCs w:val="28"/>
        </w:rPr>
        <w:t>持续深化</w:t>
      </w:r>
    </w:p>
    <w:p>
      <w:pPr>
        <w:pStyle w:val="2"/>
        <w:jc w:val="both"/>
        <w:rPr>
          <w:rFonts w:cs="仿宋_GB2312"/>
          <w:b w:val="0"/>
          <w:bCs w:val="0"/>
          <w:szCs w:val="28"/>
        </w:rPr>
      </w:pPr>
      <w:bookmarkStart w:id="66" w:name="_Toc74579963"/>
      <w:bookmarkStart w:id="67" w:name="_Toc74580128"/>
      <w:r>
        <w:rPr>
          <w:rFonts w:hint="eastAsia" w:ascii="楷体_GB2312" w:eastAsia="楷体_GB2312" w:cs="楷体_GB2312"/>
          <w:rPrChange w:id="0" w:author="苏打绿" w:date="2021-10-20T14:40:34Z">
            <w:rPr>
              <w:rFonts w:hint="eastAsia"/>
            </w:rPr>
          </w:rPrChange>
        </w:rPr>
        <w:t>在整合精简强制性标准</w:t>
      </w:r>
      <w:bookmarkEnd w:id="66"/>
      <w:bookmarkEnd w:id="67"/>
      <w:r>
        <w:rPr>
          <w:rFonts w:hint="eastAsia" w:ascii="楷体_GB2312" w:eastAsia="楷体_GB2312" w:cs="楷体_GB2312"/>
          <w:rPrChange w:id="1" w:author="苏打绿" w:date="2021-10-20T14:40:34Z">
            <w:rPr>
              <w:rFonts w:hint="eastAsia"/>
            </w:rPr>
          </w:rPrChange>
        </w:rPr>
        <w:t>方面，</w:t>
      </w:r>
      <w:r>
        <w:rPr>
          <w:rFonts w:hint="eastAsia" w:cs="仿宋_GB2312"/>
          <w:b w:val="0"/>
          <w:bCs w:val="0"/>
          <w:szCs w:val="28"/>
        </w:rPr>
        <w:t>建立健全强制性国家标准管理长效机制，制定发布了《强制性国家标准管理办法》。</w:t>
      </w:r>
      <w:bookmarkStart w:id="68" w:name="_Toc74580129"/>
      <w:bookmarkStart w:id="69" w:name="_Toc74579964"/>
      <w:r>
        <w:rPr>
          <w:rFonts w:hint="eastAsia" w:cs="仿宋_GB2312"/>
          <w:b w:val="0"/>
          <w:bCs w:val="0"/>
          <w:szCs w:val="28"/>
        </w:rPr>
        <w:t>为落实国务院关于推进道路运输车辆“三检合一”的部署要求，整合修订发布新的《机动车安全技术检验项目和方法》国家标准，实现机动车技术检验“一次上线、一次检验、一次收费”，对于优化物流营商环境，切实减轻道路货运企业负担发挥了重要作用。</w:t>
      </w:r>
    </w:p>
    <w:p>
      <w:pPr>
        <w:pStyle w:val="2"/>
        <w:jc w:val="both"/>
        <w:rPr>
          <w:rFonts w:cs="仿宋_GB2312"/>
          <w:b w:val="0"/>
          <w:bCs w:val="0"/>
          <w:szCs w:val="28"/>
        </w:rPr>
      </w:pPr>
      <w:r>
        <w:rPr>
          <w:rFonts w:hint="eastAsia" w:ascii="楷体_GB2312" w:eastAsia="楷体_GB2312" w:cs="楷体_GB2312"/>
        </w:rPr>
        <w:t>在持续优化推荐性标准</w:t>
      </w:r>
      <w:bookmarkEnd w:id="68"/>
      <w:bookmarkEnd w:id="69"/>
      <w:r>
        <w:rPr>
          <w:rFonts w:hint="eastAsia" w:ascii="楷体_GB2312" w:eastAsia="楷体_GB2312" w:cs="楷体_GB2312"/>
        </w:rPr>
        <w:t>方面</w:t>
      </w:r>
      <w:r>
        <w:rPr>
          <w:rFonts w:hint="eastAsia" w:cs="仿宋_GB2312"/>
          <w:b w:val="0"/>
          <w:bCs w:val="0"/>
          <w:szCs w:val="28"/>
        </w:rPr>
        <w:t>，开展国家标准计划再评估，强化国家标准修订，提高标准制修订效率，国家标准制修订周期缩短至24个月。下达推荐性国家标准计划项目2437项，修订项目占比43.4%。加快重点领域国际标准转化，纺织品、制鞋、家具、农机等领域与国际标准一致性程度超过95%。印发《关于进一步加强行业标准管理的指导意见》，明确行业标准管理改革方向。制定发布《地方标准管理办法》，加强地方标准备案与监管。</w:t>
      </w:r>
    </w:p>
    <w:p>
      <w:pPr>
        <w:pStyle w:val="2"/>
        <w:jc w:val="both"/>
      </w:pPr>
      <w:bookmarkStart w:id="70" w:name="_Toc74580130"/>
      <w:bookmarkStart w:id="71" w:name="_Toc74579965"/>
      <w:r>
        <w:rPr>
          <w:rFonts w:hint="eastAsia"/>
        </w:rPr>
        <w:t>在</w:t>
      </w:r>
      <w:r>
        <w:rPr>
          <w:rFonts w:hint="eastAsia" w:ascii="楷体_GB2312" w:eastAsia="楷体_GB2312" w:cs="楷体_GB2312"/>
        </w:rPr>
        <w:t>培育发展团体标准</w:t>
      </w:r>
      <w:bookmarkEnd w:id="70"/>
      <w:bookmarkEnd w:id="71"/>
      <w:bookmarkStart w:id="72" w:name="_Hlk44773806"/>
      <w:r>
        <w:rPr>
          <w:rFonts w:hint="eastAsia" w:ascii="楷体_GB2312" w:eastAsia="楷体_GB2312" w:cs="楷体_GB2312"/>
        </w:rPr>
        <w:t>方面</w:t>
      </w:r>
      <w:r>
        <w:rPr>
          <w:rFonts w:hint="eastAsia" w:cs="仿宋_GB2312"/>
          <w:b w:val="0"/>
          <w:bCs w:val="0"/>
          <w:szCs w:val="28"/>
        </w:rPr>
        <w:t>，</w:t>
      </w:r>
      <w:bookmarkEnd w:id="72"/>
      <w:r>
        <w:rPr>
          <w:rFonts w:hint="eastAsia" w:cs="仿宋_GB2312"/>
          <w:b w:val="0"/>
          <w:bCs w:val="0"/>
          <w:szCs w:val="28"/>
        </w:rPr>
        <w:t>持续开展团体标准自我声明公开和监督，声明公开的团体标准已涵盖智慧交通、共享经济、养老服务等领域。实施团体标准“双随机、一公开”监管。工业和信息化部发布APP个人信息保护18项团体标准，提升监管检测自动化、智能化水平。首个粤港澳科技创新团体标准服务平台启动，探索粤港澳三地标准互认新模式。</w:t>
      </w:r>
    </w:p>
    <w:p>
      <w:pPr>
        <w:pStyle w:val="2"/>
        <w:jc w:val="both"/>
        <w:rPr>
          <w:rFonts w:cs="仿宋_GB2312"/>
          <w:b w:val="0"/>
          <w:bCs w:val="0"/>
          <w:szCs w:val="28"/>
        </w:rPr>
      </w:pPr>
      <w:bookmarkStart w:id="73" w:name="_Toc74580131"/>
      <w:bookmarkStart w:id="74" w:name="_Toc74579966"/>
      <w:r>
        <w:rPr>
          <w:rFonts w:hint="eastAsia" w:eastAsia="楷体_GB2312"/>
        </w:rPr>
        <w:t>在</w:t>
      </w:r>
      <w:r>
        <w:rPr>
          <w:rFonts w:hint="eastAsia" w:ascii="楷体_GB2312" w:eastAsia="楷体_GB2312" w:cs="楷体_GB2312"/>
        </w:rPr>
        <w:t>放开搞活企业标准</w:t>
      </w:r>
      <w:bookmarkEnd w:id="73"/>
      <w:bookmarkEnd w:id="74"/>
      <w:r>
        <w:rPr>
          <w:rFonts w:hint="eastAsia" w:ascii="楷体_GB2312" w:eastAsia="楷体_GB2312" w:cs="楷体_GB2312"/>
        </w:rPr>
        <w:t>方面，</w:t>
      </w:r>
      <w:r>
        <w:rPr>
          <w:rFonts w:hint="eastAsia" w:cs="仿宋_GB2312"/>
          <w:b w:val="0"/>
          <w:bCs w:val="0"/>
          <w:szCs w:val="28"/>
        </w:rPr>
        <w:t>企业标准“领跑者”制度深入实施，发布184个重点领域的产品及服务标准排行榜。推动发布两批企业标准“领跑者”，339家企业的455项标准纳入2020年企业标准“领跑者”名单。“百千万对标达标行动”取得重要进展，30个省市167个市（区）的上万家企业发布3.4万项对标结果。浙江温州、台州通过对标达标，推动我国智能马桶提升国际市场竞争力。</w:t>
      </w:r>
    </w:p>
    <w:p>
      <w:pPr>
        <w:pStyle w:val="2"/>
        <w:jc w:val="both"/>
        <w:rPr>
          <w:rFonts w:cs="仿宋_GB2312"/>
          <w:b w:val="0"/>
          <w:bCs w:val="0"/>
          <w:szCs w:val="28"/>
        </w:rPr>
      </w:pPr>
      <w:bookmarkStart w:id="75" w:name="_Toc74580132"/>
      <w:bookmarkStart w:id="76" w:name="_Toc74579967"/>
      <w:r>
        <w:rPr>
          <w:rFonts w:hint="eastAsia"/>
        </w:rPr>
        <w:t>在</w:t>
      </w:r>
      <w:r>
        <w:rPr>
          <w:rFonts w:hint="eastAsia" w:ascii="楷体_GB2312" w:eastAsia="楷体_GB2312" w:cs="楷体_GB2312"/>
        </w:rPr>
        <w:t>地方标准化综合改革</w:t>
      </w:r>
      <w:bookmarkEnd w:id="75"/>
      <w:bookmarkEnd w:id="76"/>
      <w:r>
        <w:rPr>
          <w:rFonts w:hint="eastAsia" w:ascii="楷体_GB2312" w:eastAsia="楷体_GB2312" w:cs="楷体_GB2312"/>
        </w:rPr>
        <w:t>方面</w:t>
      </w:r>
      <w:r>
        <w:rPr>
          <w:rFonts w:hint="eastAsia" w:cs="仿宋_GB2312"/>
          <w:b w:val="0"/>
          <w:bCs w:val="0"/>
          <w:szCs w:val="28"/>
        </w:rPr>
        <w:t>，山西、浙江、江苏等省提炼区域协同标准机制等11条可复制可推广的标准化综合改革试点阶段性经验。发布京津冀区域协同标准4项，新丝路标准化战略联盟特色标准4项，印发《关于贯彻落实&lt;长江三角洲区域一体化发展规划纲要&gt;推进长三角标准一体化的实施意见》，开展雄安新区标准化工作，搭建粤港澳大湾区标准化合作平台，加快区域标准化布局。山东省、广东省分别发布省级标准化条例，以地方性法规的形式固定地方标准化改革特色。</w:t>
      </w:r>
      <w:bookmarkStart w:id="77" w:name="_Toc8407"/>
    </w:p>
    <w:p>
      <w:pPr>
        <w:pStyle w:val="2"/>
        <w:jc w:val="both"/>
        <w:rPr>
          <w:rFonts w:cs="仿宋_GB2312"/>
          <w:b w:val="0"/>
          <w:szCs w:val="28"/>
        </w:rPr>
      </w:pPr>
      <w:r>
        <w:rPr>
          <w:rFonts w:hint="eastAsia" w:ascii="楷体_GB2312" w:eastAsia="楷体_GB2312" w:cs="楷体_GB2312"/>
        </w:rPr>
        <w:t>在提高标准国际化水平方面</w:t>
      </w:r>
      <w:r>
        <w:rPr>
          <w:rFonts w:hint="eastAsia" w:cs="仿宋_GB2312"/>
          <w:szCs w:val="28"/>
        </w:rPr>
        <w:t>，</w:t>
      </w:r>
      <w:r>
        <w:rPr>
          <w:rFonts w:hint="eastAsia" w:cs="仿宋_GB2312"/>
          <w:b w:val="0"/>
          <w:szCs w:val="28"/>
        </w:rPr>
        <w:t>深入参与《ISO战略2030》制定，提出中国建议。中国代表连任ISO、IEC管理机构成员，</w:t>
      </w:r>
      <w:r>
        <w:rPr>
          <w:rFonts w:hint="eastAsia" w:cs="仿宋_GB2312"/>
          <w:b w:val="0"/>
          <w:szCs w:val="28"/>
          <w:lang w:eastAsia="zh-CN"/>
        </w:rPr>
        <w:t>在</w:t>
      </w:r>
      <w:r>
        <w:rPr>
          <w:rFonts w:hint="eastAsia" w:cs="仿宋_GB2312"/>
          <w:b w:val="0"/>
          <w:szCs w:val="28"/>
        </w:rPr>
        <w:t>ISO、IEC战略、政策和规则制定</w:t>
      </w:r>
      <w:r>
        <w:rPr>
          <w:rFonts w:hint="eastAsia" w:cs="仿宋_GB2312"/>
          <w:b w:val="0"/>
          <w:szCs w:val="28"/>
          <w:lang w:eastAsia="zh-CN"/>
        </w:rPr>
        <w:t>中作出积极贡献</w:t>
      </w:r>
      <w:r>
        <w:rPr>
          <w:rFonts w:hint="eastAsia" w:cs="仿宋_GB2312"/>
          <w:b w:val="0"/>
          <w:szCs w:val="28"/>
        </w:rPr>
        <w:t>。2020年，技术委员会委员构成广泛性、合理性进一步提高，推进《外商投资法》贯彻落实，外资企业代表参与比例持续扩大，截至2020年底，外资企业代表累计人数达</w:t>
      </w:r>
      <w:r>
        <w:rPr>
          <w:rFonts w:cs="仿宋_GB2312"/>
          <w:b w:val="0"/>
          <w:szCs w:val="28"/>
        </w:rPr>
        <w:t>3176</w:t>
      </w:r>
      <w:r>
        <w:rPr>
          <w:rFonts w:hint="eastAsia" w:cs="仿宋_GB2312"/>
          <w:b w:val="0"/>
          <w:szCs w:val="28"/>
        </w:rPr>
        <w:t>人次，占比6.08%。</w:t>
      </w:r>
      <w:bookmarkStart w:id="78" w:name="_Toc74580134"/>
      <w:bookmarkStart w:id="79" w:name="_Toc74579969"/>
      <w:r>
        <w:rPr>
          <w:rFonts w:hint="eastAsia" w:cs="仿宋_GB2312"/>
          <w:b w:val="0"/>
          <w:szCs w:val="28"/>
        </w:rPr>
        <w:t>印发《国家标准采用国际标准工作指南（2020年版）》，为各相关方做好采标工作提供指导，加快推进中国标准与国际标准之间的转化运用。</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（二）</w:t>
      </w:r>
      <w:bookmarkEnd w:id="77"/>
      <w:bookmarkEnd w:id="78"/>
      <w:bookmarkEnd w:id="79"/>
      <w:r>
        <w:rPr>
          <w:rFonts w:hint="eastAsia" w:ascii="楷体_GB2312" w:eastAsia="楷体_GB2312" w:cs="楷体_GB2312"/>
          <w:b/>
          <w:bCs/>
          <w:szCs w:val="28"/>
        </w:rPr>
        <w:t>标准化助力经济社会发展亮点纷呈</w:t>
      </w:r>
    </w:p>
    <w:p>
      <w:pPr>
        <w:pStyle w:val="2"/>
        <w:jc w:val="both"/>
        <w:rPr>
          <w:rFonts w:cs="仿宋_GB2312"/>
          <w:b w:val="0"/>
          <w:szCs w:val="28"/>
        </w:rPr>
      </w:pPr>
      <w:r>
        <w:rPr>
          <w:rFonts w:hint="eastAsia" w:cs="仿宋_GB2312"/>
          <w:szCs w:val="28"/>
        </w:rPr>
        <w:t>在农业方面，</w:t>
      </w:r>
      <w:r>
        <w:rPr>
          <w:rFonts w:hint="eastAsia" w:cs="仿宋_GB2312"/>
          <w:b w:val="0"/>
          <w:szCs w:val="28"/>
        </w:rPr>
        <w:t>发布《丙环唑原药》等73项国家标准，着力构建现代农业全产业链标准体系。发布《森林生态系统服务功能评估规范》等国家标准，持续健全农林绿色发展标准体系。下达109项国家农业标准化示范区、新建20个农业标准化区域服务与推广平台，有效推进农业标准的实施。发布《精准扶贫 中药材 草果产业项目运行管理规范》等7项产业扶贫国家标准，助力提升扶贫产业的质量和效益。强化产业扶贫标准化示范带动，支持甘肃、西藏、新疆、贵州等地持续开展农业标准化生产，提高农产品质量和农业生产效率。</w:t>
      </w:r>
    </w:p>
    <w:p>
      <w:pPr>
        <w:pStyle w:val="2"/>
        <w:jc w:val="both"/>
        <w:rPr>
          <w:rFonts w:cs="仿宋_GB2312"/>
          <w:szCs w:val="28"/>
        </w:rPr>
      </w:pPr>
      <w:r>
        <w:rPr>
          <w:rFonts w:hint="eastAsia" w:cs="仿宋_GB2312"/>
          <w:szCs w:val="28"/>
        </w:rPr>
        <w:t>在农村和新型城镇化方面，</w:t>
      </w:r>
      <w:r>
        <w:rPr>
          <w:rFonts w:hint="eastAsia" w:cs="仿宋_GB2312"/>
          <w:b w:val="0"/>
          <w:szCs w:val="28"/>
        </w:rPr>
        <w:t>建立健全农村人居环境标准体系，市场监管总局与农业农村部、卫生健康委等部门联合印发《关于加强农村户用厕所标准体系建设的指导意见》《关于推动农村人居环境标准体系建设的指导意见》。发布《农村三格式户厕建设技术规范》等11项国家标准，推动农村人居环境持续改善。发布一批历史文化名村保护与修复、海绵城市建设等领域国家标准，助力城乡融合发展。发布首个品质城市领域国家标准《新型城镇化品质城市评价指标体系》。下达12个全国农村综合改革标准化试点和9个新型城镇化标准化试点项目，深入推进农村领域标准化实施推广体系建设。</w:t>
      </w:r>
    </w:p>
    <w:p>
      <w:pPr>
        <w:pStyle w:val="2"/>
        <w:jc w:val="both"/>
        <w:rPr>
          <w:rFonts w:cs="仿宋_GB2312"/>
          <w:szCs w:val="28"/>
        </w:rPr>
      </w:pPr>
      <w:r>
        <w:rPr>
          <w:rFonts w:hint="eastAsia" w:cs="仿宋_GB2312"/>
          <w:szCs w:val="28"/>
        </w:rPr>
        <w:t>在生态文明建设方面，</w:t>
      </w:r>
      <w:r>
        <w:rPr>
          <w:rFonts w:hint="eastAsia" w:cs="仿宋_GB2312"/>
          <w:b w:val="0"/>
          <w:szCs w:val="28"/>
        </w:rPr>
        <w:t>发布陶瓷行业、化工行业能源管理体系实施指南，指导重点耗能行业更好地实施能源管理体系。发布《绿色产品评价</w:t>
      </w:r>
      <w:r>
        <w:rPr>
          <w:rFonts w:cs="仿宋_GB2312"/>
          <w:b w:val="0"/>
          <w:szCs w:val="28"/>
        </w:rPr>
        <w:t xml:space="preserve"> </w:t>
      </w:r>
      <w:r>
        <w:rPr>
          <w:rFonts w:hint="eastAsia" w:cs="仿宋_GB2312"/>
          <w:b w:val="0"/>
          <w:szCs w:val="28"/>
        </w:rPr>
        <w:t>洗涤用品》国家标准，组织开展《船舶防污染技术标准体系研究》项目，着力发展壮大绿色产业。生态环境部发布《</w:t>
      </w:r>
      <w:r>
        <w:rPr>
          <w:rFonts w:hint="eastAsia" w:cs="仿宋_GB2312"/>
          <w:b w:val="0"/>
          <w:szCs w:val="28"/>
          <w:lang w:eastAsia="zh-CN"/>
        </w:rPr>
        <w:t>电子工业水污染物排放标准</w:t>
      </w:r>
      <w:r>
        <w:rPr>
          <w:rFonts w:hint="eastAsia" w:cs="仿宋_GB2312"/>
          <w:b w:val="0"/>
          <w:szCs w:val="28"/>
        </w:rPr>
        <w:t>》等标准，助力打赢污染防治攻坚战。发展改革委</w:t>
      </w:r>
      <w:r>
        <w:rPr>
          <w:rFonts w:cs="仿宋_GB2312"/>
          <w:b w:val="0"/>
          <w:szCs w:val="28"/>
        </w:rPr>
        <w:t>加快推进节水标准体系建设，</w:t>
      </w:r>
      <w:r>
        <w:rPr>
          <w:rFonts w:hint="eastAsia" w:cs="仿宋_GB2312"/>
          <w:b w:val="0"/>
          <w:szCs w:val="28"/>
        </w:rPr>
        <w:t>目前我国现行有效的节水国家标准177项，</w:t>
      </w:r>
      <w:r>
        <w:rPr>
          <w:rFonts w:cs="仿宋_GB2312"/>
          <w:b w:val="0"/>
          <w:szCs w:val="28"/>
        </w:rPr>
        <w:t>初步形成了结构较为合理、适用性强、基本满足经济社会发展需求的节水标准体系。</w:t>
      </w:r>
    </w:p>
    <w:p>
      <w:pPr>
        <w:pStyle w:val="2"/>
        <w:jc w:val="both"/>
        <w:rPr>
          <w:rFonts w:cs="仿宋_GB2312"/>
          <w:b w:val="0"/>
          <w:bCs w:val="0"/>
          <w:szCs w:val="28"/>
        </w:rPr>
      </w:pPr>
      <w:r>
        <w:rPr>
          <w:rFonts w:hint="eastAsia" w:cs="仿宋_GB2312"/>
          <w:szCs w:val="28"/>
        </w:rPr>
        <w:t>在食品消费品方面，</w:t>
      </w:r>
      <w:r>
        <w:rPr>
          <w:rFonts w:hint="eastAsia" w:cs="仿宋_GB2312"/>
          <w:b w:val="0"/>
          <w:bCs w:val="0"/>
          <w:szCs w:val="28"/>
        </w:rPr>
        <w:t>发布《学生用品的安全通用要求》《婴幼儿用奶瓶和奶嘴》强制性国家标准，筑牢学生用品和婴幼儿用品安全底线。发布《罐头食品分类》《食盐批发企业管理质量等级划分及技术要求》等10多项食品质量国家标准。加快发布定制家具、绿色产品、智能家电、智能照明等70多项消费品标准，响应消费升级需求。围绕家用电器、鞋类产品、纺织服装、玩具等出口贸易重点领域，配合开展出口转内销关键标准宣贯工作。第一批29个国家级消费品标准化试点项目通过验收，创新消费品标准供给体系，探索消费品标准实施新模式。</w:t>
      </w:r>
    </w:p>
    <w:p>
      <w:pPr>
        <w:pStyle w:val="2"/>
        <w:jc w:val="both"/>
        <w:rPr>
          <w:rFonts w:cs="仿宋_GB2312"/>
          <w:szCs w:val="28"/>
        </w:rPr>
      </w:pPr>
      <w:r>
        <w:rPr>
          <w:rFonts w:hint="eastAsia" w:cs="仿宋_GB2312"/>
          <w:szCs w:val="28"/>
        </w:rPr>
        <w:t>在装备制造和信息通信方面</w:t>
      </w:r>
      <w:r>
        <w:rPr>
          <w:rFonts w:hint="eastAsia" w:cs="仿宋_GB2312"/>
          <w:b w:val="0"/>
          <w:szCs w:val="28"/>
        </w:rPr>
        <w:t>，标准委、工业和信息化部等联合印发《增材制造标准领航行动计划（2020—2022年）》，标准委、中央网信办、发展改革委等五部门联合印发《国家新一代人工智能标准体系建设指南》，能源局、应急部、市场监管总局联合印发《关于加强储能标准化工作的实施方案》，工业和信息化部、公安部、标准委联合印发《国家车联网产业标准体系建设指南（车辆智能管理）》等标准体系建设文件，加快新兴产业标准研制，推进新兴产业标准体系建设。发布电动汽车、电动客车、电动摩托车、动力蓄电池等方面4项强制性国家标准，促进电动汽车行业规范健康发展。发展改革委、中央网信办等部门联合印发《智能汽车创新发展战略》，建立中国智能汽车标准体系。发布高端装备、钢铁、有色金属、化工、建材、船舶等领域等国家标准300余项，开展铜、铝、钢、塑料等再生原材料标准的研制，以标准升级倒逼传统产业升级。首批14项5G行业标准正式发布。</w:t>
      </w:r>
    </w:p>
    <w:p>
      <w:pPr>
        <w:pStyle w:val="2"/>
        <w:jc w:val="both"/>
        <w:rPr>
          <w:rFonts w:cs="仿宋_GB2312"/>
          <w:b w:val="0"/>
          <w:szCs w:val="28"/>
        </w:rPr>
      </w:pPr>
      <w:r>
        <w:rPr>
          <w:rFonts w:hint="eastAsia" w:cs="仿宋_GB2312"/>
          <w:szCs w:val="28"/>
        </w:rPr>
        <w:t>在现代服务业方面，</w:t>
      </w:r>
      <w:r>
        <w:rPr>
          <w:rFonts w:hint="eastAsia" w:cs="仿宋_GB2312"/>
          <w:b w:val="0"/>
          <w:szCs w:val="28"/>
        </w:rPr>
        <w:t>市场监管总局、发展改革委等部门联合印发《关于加强快递绿色包装标准化工作的指导意见》，完善标准与法律政策协调配套的快递绿色包装治理体系。落实习近平总书记关于制止餐饮浪费行为的重要批示，快速启动《餐饮业供应链管理指南》《外卖餐品信息描述规范》等3项国家标准研制工作，规范餐饮企业运营管理，引导消费者科学点餐、减少浪费。发布《国际货运代理铁路联运作业规范》等3项国家标准，促进贸易便利化和中欧班列产业化升级。发布旅游度假租赁公寓、跨境电子商务、品牌评价、服务认证等一批国家标准，以标准提升服务品质、传递市场信任、扩大服务消费。</w:t>
      </w:r>
    </w:p>
    <w:p>
      <w:pPr>
        <w:pStyle w:val="2"/>
        <w:jc w:val="both"/>
        <w:rPr>
          <w:rFonts w:cs="仿宋_GB2312"/>
          <w:b w:val="0"/>
          <w:szCs w:val="28"/>
        </w:rPr>
      </w:pPr>
      <w:r>
        <w:rPr>
          <w:rFonts w:hint="eastAsia" w:cs="仿宋_GB2312"/>
          <w:szCs w:val="28"/>
        </w:rPr>
        <w:t>在社会治理方面，</w:t>
      </w:r>
      <w:r>
        <w:rPr>
          <w:rFonts w:hint="eastAsia" w:cs="仿宋_GB2312"/>
          <w:b w:val="0"/>
          <w:szCs w:val="28"/>
        </w:rPr>
        <w:t>国务院办公厅印发《关于全面推进基层政务公开标准化规范化工作的指导意见》，全面推进基层政务公开标准化规范化工作。市场监管总局办公厅、中共中央办公厅机要局、国务院办公厅电子政务办公室等六部门联合印发《国家电子政务标准体系建设指南》，系统部署电子政务标准体系建设和重点任务。组织开展“应对突发公共安全事件标准体系研究”应急研究项目。发布《政务服务“一事一评”“一次一评”》《政务服务评价工作指南》两项国家标准。包头市“标准国际化创新型城市”示范创建工作通过验收，为标准化支撑城市建设提供更多的良好实践和经验借鉴。国管局、标准委组织开展全国第二批机关事务管理标准化试点验收，推动机关事务管理标准化工作取得新突破。福建省增加5个公共资源交易领域基层政务公开标准指引，进一步推进公共资源交易领域基层政务公开标准化规范化建设。</w:t>
      </w:r>
    </w:p>
    <w:p>
      <w:pPr>
        <w:pStyle w:val="2"/>
        <w:jc w:val="both"/>
        <w:rPr>
          <w:rFonts w:cs="仿宋_GB2312"/>
          <w:b w:val="0"/>
          <w:szCs w:val="28"/>
        </w:rPr>
      </w:pPr>
      <w:r>
        <w:rPr>
          <w:rFonts w:hint="eastAsia" w:cs="仿宋_GB2312"/>
          <w:szCs w:val="28"/>
        </w:rPr>
        <w:t>在公共服务方面，</w:t>
      </w:r>
      <w:r>
        <w:rPr>
          <w:rFonts w:hint="eastAsia" w:cs="仿宋_GB2312"/>
          <w:b w:val="0"/>
          <w:szCs w:val="28"/>
        </w:rPr>
        <w:t>市场监管总局、发展改革委、财政部联合印发《关于下达国家基本公共服务标准化试点项目的通知》，面向21个省、自治区、直辖市的51个市县级人民政府启动首批试点，全面推进公共教育、劳动就业创业、社会保险、医疗卫生、社会服务、住房保障、公共文化体育、优抚安置、残疾人服务等9大领域标准体系建设。下达了第六批101项社会管理和公共服务综合标准化试点项目，组织完成了“北京丰台方庄社区互联网+健康服务标准化试点”等103个项目的考核评估。</w:t>
      </w:r>
      <w:bookmarkStart w:id="80" w:name="_Toc74580140"/>
      <w:bookmarkStart w:id="81" w:name="_Toc22661"/>
      <w:bookmarkStart w:id="82" w:name="_Toc74579975"/>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（三）标准化支撑疫情防控和复工复产</w:t>
      </w:r>
      <w:bookmarkEnd w:id="80"/>
      <w:bookmarkEnd w:id="81"/>
      <w:bookmarkEnd w:id="82"/>
      <w:r>
        <w:rPr>
          <w:rFonts w:hint="eastAsia" w:ascii="楷体_GB2312" w:eastAsia="楷体_GB2312" w:cs="楷体_GB2312"/>
          <w:b/>
          <w:bCs/>
          <w:szCs w:val="28"/>
        </w:rPr>
        <w:t>作用凸显</w:t>
      </w:r>
    </w:p>
    <w:p>
      <w:pPr>
        <w:pStyle w:val="2"/>
        <w:jc w:val="both"/>
        <w:rPr>
          <w:rFonts w:hint="eastAsia"/>
          <w:b w:val="0"/>
          <w:bCs w:val="0"/>
        </w:rPr>
      </w:pPr>
      <w:bookmarkStart w:id="83" w:name="_Toc74580141"/>
      <w:bookmarkStart w:id="84" w:name="_Toc74579976"/>
      <w:r>
        <w:rPr>
          <w:rFonts w:hint="eastAsia"/>
          <w:szCs w:val="28"/>
        </w:rPr>
        <w:t>在标准供给</w:t>
      </w:r>
      <w:bookmarkEnd w:id="83"/>
      <w:bookmarkEnd w:id="84"/>
      <w:r>
        <w:rPr>
          <w:rFonts w:hint="eastAsia"/>
          <w:szCs w:val="28"/>
        </w:rPr>
        <w:t>方面</w:t>
      </w:r>
      <w:r>
        <w:rPr>
          <w:rFonts w:hint="eastAsia"/>
          <w:b w:val="0"/>
          <w:bCs w:val="0"/>
          <w:szCs w:val="28"/>
        </w:rPr>
        <w:t>，</w:t>
      </w:r>
      <w:r>
        <w:rPr>
          <w:rFonts w:hint="eastAsia"/>
          <w:b w:val="0"/>
          <w:bCs w:val="0"/>
        </w:rPr>
        <w:t>发布消毒剂、呼吸机、应急物资编码、餐饮分餐制、无接触配送服务等28项国家标准。快速制定发布《个人健康信息码 参考模型》等3项国家标准。及时出台《儿童口罩技术规范》国家标准，保障儿童健康安全。各地方</w:t>
      </w:r>
      <w:r>
        <w:rPr>
          <w:rFonts w:hint="eastAsia" w:ascii="Times New Roman"/>
          <w:b w:val="0"/>
          <w:bCs w:val="0"/>
        </w:rPr>
        <w:t>累计</w:t>
      </w:r>
      <w:r>
        <w:rPr>
          <w:rFonts w:ascii="Times New Roman"/>
          <w:b w:val="0"/>
          <w:bCs w:val="0"/>
        </w:rPr>
        <w:t>制定</w:t>
      </w:r>
      <w:r>
        <w:rPr>
          <w:rFonts w:hint="eastAsia"/>
          <w:b w:val="0"/>
          <w:bCs w:val="0"/>
        </w:rPr>
        <w:t>包含入境疫情防控、复工复产防疫管理、餐饮业分餐设计等领域</w:t>
      </w:r>
      <w:r>
        <w:rPr>
          <w:rFonts w:hint="eastAsia" w:ascii="Times New Roman"/>
          <w:b w:val="0"/>
          <w:bCs w:val="0"/>
        </w:rPr>
        <w:t>防疫相关</w:t>
      </w:r>
      <w:r>
        <w:rPr>
          <w:rFonts w:ascii="Times New Roman"/>
          <w:b w:val="0"/>
          <w:bCs w:val="0"/>
        </w:rPr>
        <w:t>地方标准</w:t>
      </w:r>
      <w:r>
        <w:rPr>
          <w:rFonts w:hint="eastAsia"/>
          <w:b w:val="0"/>
          <w:bCs w:val="0"/>
        </w:rPr>
        <w:t>80</w:t>
      </w:r>
      <w:r>
        <w:rPr>
          <w:rFonts w:ascii="Times New Roman"/>
          <w:b w:val="0"/>
          <w:bCs w:val="0"/>
        </w:rPr>
        <w:t>余项</w:t>
      </w:r>
      <w:r>
        <w:rPr>
          <w:rFonts w:hint="eastAsia" w:ascii="Times New Roman"/>
          <w:b w:val="0"/>
          <w:bCs w:val="0"/>
        </w:rPr>
        <w:t>。</w:t>
      </w:r>
      <w:r>
        <w:rPr>
          <w:rFonts w:hint="eastAsia"/>
          <w:b w:val="0"/>
          <w:bCs w:val="0"/>
        </w:rPr>
        <w:t>150</w:t>
      </w:r>
      <w:r>
        <w:rPr>
          <w:rFonts w:ascii="Times New Roman"/>
          <w:b w:val="0"/>
          <w:bCs w:val="0"/>
        </w:rPr>
        <w:t>家社会团体</w:t>
      </w:r>
      <w:r>
        <w:rPr>
          <w:rFonts w:hint="eastAsia"/>
          <w:b w:val="0"/>
          <w:bCs w:val="0"/>
          <w:color w:val="000000"/>
        </w:rPr>
        <w:t>在全国团体标准信息平台上</w:t>
      </w:r>
      <w:r>
        <w:rPr>
          <w:rFonts w:ascii="Times New Roman"/>
          <w:b w:val="0"/>
          <w:bCs w:val="0"/>
        </w:rPr>
        <w:t>公布</w:t>
      </w:r>
      <w:r>
        <w:rPr>
          <w:rFonts w:hint="eastAsia"/>
          <w:b w:val="0"/>
          <w:bCs w:val="0"/>
        </w:rPr>
        <w:t>269</w:t>
      </w:r>
      <w:r>
        <w:rPr>
          <w:rFonts w:ascii="Times New Roman"/>
          <w:b w:val="0"/>
          <w:bCs w:val="0"/>
        </w:rPr>
        <w:t>项</w:t>
      </w:r>
      <w:r>
        <w:rPr>
          <w:rFonts w:hint="eastAsia" w:ascii="Times New Roman"/>
          <w:b w:val="0"/>
          <w:bCs w:val="0"/>
        </w:rPr>
        <w:t>涉及</w:t>
      </w:r>
      <w:r>
        <w:rPr>
          <w:rFonts w:ascii="Times New Roman"/>
          <w:b w:val="0"/>
          <w:bCs w:val="0"/>
        </w:rPr>
        <w:t>疫情和复工复产</w:t>
      </w:r>
      <w:r>
        <w:rPr>
          <w:rFonts w:hint="eastAsia" w:ascii="Times New Roman"/>
          <w:b w:val="0"/>
          <w:bCs w:val="0"/>
        </w:rPr>
        <w:t>的</w:t>
      </w:r>
      <w:r>
        <w:rPr>
          <w:rFonts w:ascii="Times New Roman"/>
          <w:b w:val="0"/>
          <w:bCs w:val="0"/>
        </w:rPr>
        <w:t>团体标准</w:t>
      </w:r>
      <w:r>
        <w:rPr>
          <w:rFonts w:hint="eastAsia" w:ascii="Times New Roman"/>
          <w:b w:val="0"/>
          <w:bCs w:val="0"/>
        </w:rPr>
        <w:t>。</w:t>
      </w:r>
      <w:r>
        <w:rPr>
          <w:rFonts w:hint="eastAsia"/>
          <w:b w:val="0"/>
          <w:bCs w:val="0"/>
        </w:rPr>
        <w:t>发布《医用防护口罩技术要求》等37项疫情防护国家标准外文版，增进外贸出口，助力对外援助。向ISO、IEC提交了《高流量呼吸治疗设备的基本安全和基本性能专用要求》等40项国际标准提案，推动《无接触配送服务指南》《云厨房服务指南》两项团体标准快速转化为国际标准。</w:t>
      </w:r>
      <w:bookmarkStart w:id="85" w:name="_Toc74579978"/>
      <w:bookmarkStart w:id="86" w:name="_Toc74580143"/>
      <w:bookmarkStart w:id="87" w:name="_Toc7753"/>
    </w:p>
    <w:p>
      <w:pPr>
        <w:pStyle w:val="2"/>
        <w:jc w:val="both"/>
      </w:pPr>
      <w:r>
        <w:rPr>
          <w:rFonts w:hint="eastAsia"/>
          <w:szCs w:val="28"/>
        </w:rPr>
        <w:t>在标准化服务</w:t>
      </w:r>
      <w:bookmarkEnd w:id="85"/>
      <w:bookmarkEnd w:id="86"/>
      <w:r>
        <w:rPr>
          <w:rFonts w:hint="eastAsia"/>
          <w:szCs w:val="28"/>
        </w:rPr>
        <w:t>方面</w:t>
      </w:r>
      <w:r>
        <w:rPr>
          <w:rFonts w:hint="eastAsia"/>
          <w:b w:val="0"/>
          <w:bCs w:val="0"/>
          <w:szCs w:val="28"/>
        </w:rPr>
        <w:t>，</w:t>
      </w:r>
      <w:r>
        <w:rPr>
          <w:rFonts w:hint="eastAsia"/>
          <w:b w:val="0"/>
          <w:bCs w:val="0"/>
        </w:rPr>
        <w:t>积极开展标准化公益讲座，开展为期两个月的“标准云课”公益讲座活动，为企业复工复产提供标准化技术支持。搭建“助力湖北企业复工复产标准化公益大讲堂”“国家标准直播小课堂”等载体，举办线上培训会30多场，培训</w:t>
      </w:r>
      <w:r>
        <w:rPr>
          <w:rFonts w:hint="eastAsia"/>
          <w:b w:val="0"/>
          <w:bCs w:val="0"/>
          <w:lang w:val="en-US" w:eastAsia="zh-CN"/>
        </w:rPr>
        <w:t>8万</w:t>
      </w:r>
      <w:r>
        <w:rPr>
          <w:rFonts w:hint="eastAsia"/>
          <w:b w:val="0"/>
          <w:bCs w:val="0"/>
        </w:rPr>
        <w:t>多人次。编码中心协调全国47个编码分支机构，启动24小时快速响应机制，为2800多家防疫企业加急办理条码业务。组织专业标准化技术委员会提供专业技术支撑服务，号召1300多家标准化技术组织、5万余名委员，发挥人才和技术优势，积极服务企业疫情防控和复工复产</w:t>
      </w:r>
      <w:r>
        <w:rPr>
          <w:b w:val="0"/>
          <w:bCs w:val="0"/>
        </w:rPr>
        <w:t>。</w:t>
      </w:r>
      <w:bookmarkEnd w:id="87"/>
    </w:p>
    <w:p>
      <w:pPr>
        <w:pStyle w:val="2"/>
        <w:jc w:val="both"/>
        <w:rPr>
          <w:b w:val="0"/>
          <w:bCs w:val="0"/>
        </w:rPr>
      </w:pPr>
      <w:bookmarkStart w:id="88" w:name="_Toc74580142"/>
      <w:bookmarkStart w:id="89" w:name="_Toc74579977"/>
      <w:r>
        <w:rPr>
          <w:rFonts w:hint="eastAsia"/>
          <w:szCs w:val="28"/>
        </w:rPr>
        <w:t>在国内外标准</w:t>
      </w:r>
      <w:bookmarkEnd w:id="88"/>
      <w:bookmarkEnd w:id="89"/>
      <w:r>
        <w:rPr>
          <w:rFonts w:hint="eastAsia"/>
          <w:szCs w:val="28"/>
          <w:lang w:eastAsia="zh-CN"/>
        </w:rPr>
        <w:t>信息共享</w:t>
      </w:r>
      <w:r>
        <w:rPr>
          <w:rFonts w:hint="eastAsia"/>
          <w:szCs w:val="28"/>
        </w:rPr>
        <w:t>方面</w:t>
      </w:r>
      <w:r>
        <w:rPr>
          <w:rFonts w:hint="eastAsia"/>
          <w:b w:val="0"/>
          <w:bCs w:val="0"/>
          <w:szCs w:val="28"/>
        </w:rPr>
        <w:t>，</w:t>
      </w:r>
      <w:r>
        <w:rPr>
          <w:rFonts w:hint="eastAsia"/>
          <w:b w:val="0"/>
          <w:bCs w:val="0"/>
        </w:rPr>
        <w:t>累计收集近30个国际、区域标准组织和欧盟、美国、日本、韩国、澳大利亚等主要国家的口罩、防护服、手套等10类防疫产品共计718项标准，对其中小语种标准文本进行翻译，充分掌握相关国际国外防疫用品标准情况。开展防疫用品中外标准比对分析研究，成立核心专家组，围绕口罩、防护服、手套等10类产品，对比分析国内外相关标准440余项，完成中欧、中俄重点防疫产品相关标准的比对分析工作，为紧急进口国外防护物资、出口企业生产防护产品、应急状态下防护产品选用提供指引，比对结果被法国、英国、西班牙等国家采信，服务我国防疫产品出口，有力支撑全球抗疫。积极开展标准信息咨询服务，组织建设“标准信息精准助力新型冠状病毒肺炎防控”标准专题数据库，免费提供全球范围内相关标准信息共计</w:t>
      </w:r>
      <w:r>
        <w:rPr>
          <w:rFonts w:hint="eastAsia" w:cs="仿宋_GB2312"/>
          <w:b w:val="0"/>
          <w:bCs w:val="0"/>
          <w:szCs w:val="28"/>
        </w:rPr>
        <w:t>1185</w:t>
      </w:r>
      <w:r>
        <w:rPr>
          <w:rFonts w:hint="eastAsia"/>
          <w:b w:val="0"/>
          <w:bCs w:val="0"/>
        </w:rPr>
        <w:t>项，覆盖</w:t>
      </w:r>
      <w:r>
        <w:rPr>
          <w:rFonts w:hint="eastAsia" w:cs="仿宋_GB2312"/>
          <w:b w:val="0"/>
          <w:bCs w:val="0"/>
          <w:szCs w:val="28"/>
        </w:rPr>
        <w:t>26</w:t>
      </w:r>
      <w:r>
        <w:rPr>
          <w:rFonts w:hint="eastAsia"/>
          <w:b w:val="0"/>
          <w:bCs w:val="0"/>
        </w:rPr>
        <w:t>个国家及</w:t>
      </w:r>
      <w:r>
        <w:rPr>
          <w:rFonts w:hint="eastAsia" w:cs="仿宋_GB2312"/>
          <w:b w:val="0"/>
          <w:bCs w:val="0"/>
          <w:szCs w:val="28"/>
        </w:rPr>
        <w:t>ISO、IEC</w:t>
      </w:r>
      <w:r>
        <w:rPr>
          <w:rFonts w:hint="eastAsia"/>
          <w:b w:val="0"/>
          <w:bCs w:val="0"/>
        </w:rPr>
        <w:t>国际组织的标准。组织</w:t>
      </w:r>
      <w:r>
        <w:rPr>
          <w:rFonts w:hint="eastAsia" w:cs="仿宋_GB2312"/>
          <w:b w:val="0"/>
          <w:bCs w:val="0"/>
          <w:szCs w:val="28"/>
        </w:rPr>
        <w:t>89</w:t>
      </w:r>
      <w:r>
        <w:rPr>
          <w:rFonts w:hint="eastAsia"/>
          <w:b w:val="0"/>
          <w:bCs w:val="0"/>
        </w:rPr>
        <w:t>家标准化服务业试点单位为疫情防控和企业复工复产提供标准信息、标准咨询等服务。</w:t>
      </w:r>
      <w:r>
        <w:rPr>
          <w:b w:val="0"/>
          <w:bCs w:val="0"/>
        </w:rPr>
        <w:t>组织</w:t>
      </w:r>
      <w:r>
        <w:rPr>
          <w:rFonts w:cs="仿宋_GB2312"/>
          <w:b w:val="0"/>
          <w:bCs w:val="0"/>
          <w:szCs w:val="28"/>
        </w:rPr>
        <w:t>10</w:t>
      </w:r>
      <w:r>
        <w:rPr>
          <w:b w:val="0"/>
          <w:bCs w:val="0"/>
        </w:rPr>
        <w:t>余个标准信息平台增设防疫标准信息发布专栏，发布中国防疫产品标准清单、国内外防疫相关标准比对研究信息、防疫相关国家标准外文版信息和国外有关疫情防控标准化信息等，为国内外持续提供标准信息服务助力全球疫情防控工作。</w:t>
      </w:r>
    </w:p>
    <w:p>
      <w:pPr>
        <w:rPr>
          <w:rFonts w:hint="eastAsia" w:ascii="黑体" w:hAnsi="黑体" w:eastAsia="黑体" w:cs="黑体"/>
          <w:sz w:val="32"/>
          <w:szCs w:val="32"/>
        </w:rPr>
      </w:pPr>
      <w:bookmarkStart w:id="90" w:name="_Toc8"/>
      <w:bookmarkStart w:id="91" w:name="_Toc74579979"/>
      <w:bookmarkStart w:id="92" w:name="_Toc18690"/>
      <w:bookmarkStart w:id="93" w:name="_Toc74734655"/>
      <w:r>
        <w:rPr>
          <w:rFonts w:hint="eastAsia" w:ascii="黑体" w:hAnsi="黑体" w:eastAsia="黑体" w:cs="黑体"/>
          <w:sz w:val="32"/>
          <w:szCs w:val="32"/>
        </w:rPr>
        <w:br w:type="page"/>
      </w:r>
    </w:p>
    <w:p>
      <w:pPr>
        <w:spacing w:line="594" w:lineRule="exact"/>
        <w:ind w:firstLine="626" w:firstLineChars="200"/>
        <w:jc w:val="both"/>
        <w:outlineLvl w:val="0"/>
        <w:rPr>
          <w:rFonts w:ascii="黑体" w:hAnsi="黑体" w:eastAsia="黑体" w:cs="黑体"/>
          <w:sz w:val="32"/>
          <w:szCs w:val="32"/>
        </w:rPr>
      </w:pPr>
      <w:r>
        <w:rPr>
          <w:rFonts w:hint="eastAsia" w:ascii="黑体" w:hAnsi="黑体" w:eastAsia="黑体" w:cs="黑体"/>
          <w:sz w:val="32"/>
          <w:szCs w:val="32"/>
        </w:rPr>
        <w:t>三、国际标准化</w:t>
      </w:r>
      <w:bookmarkEnd w:id="90"/>
      <w:bookmarkEnd w:id="91"/>
      <w:bookmarkEnd w:id="92"/>
      <w:bookmarkEnd w:id="93"/>
    </w:p>
    <w:p>
      <w:pPr>
        <w:spacing w:line="594" w:lineRule="exact"/>
        <w:ind w:firstLine="546" w:firstLineChars="200"/>
        <w:outlineLvl w:val="1"/>
        <w:rPr>
          <w:rFonts w:ascii="楷体_GB2312" w:eastAsia="楷体_GB2312" w:cs="楷体_GB2312"/>
          <w:b/>
          <w:bCs/>
          <w:szCs w:val="28"/>
        </w:rPr>
      </w:pPr>
      <w:bookmarkStart w:id="94" w:name="_Toc74580145"/>
      <w:bookmarkStart w:id="95" w:name="_Toc74579980"/>
      <w:r>
        <w:rPr>
          <w:rFonts w:hint="eastAsia" w:ascii="楷体_GB2312" w:eastAsia="楷体_GB2312" w:cs="楷体_GB2312"/>
          <w:b/>
          <w:bCs/>
          <w:szCs w:val="28"/>
        </w:rPr>
        <w:t>（一）国际贡献</w:t>
      </w:r>
      <w:bookmarkEnd w:id="94"/>
      <w:bookmarkEnd w:id="95"/>
    </w:p>
    <w:p>
      <w:pPr>
        <w:autoSpaceDE w:val="0"/>
        <w:autoSpaceDN w:val="0"/>
        <w:adjustRightInd w:val="0"/>
        <w:spacing w:line="594" w:lineRule="exact"/>
        <w:ind w:firstLine="546" w:firstLineChars="200"/>
        <w:jc w:val="both"/>
        <w:rPr>
          <w:rFonts w:cs="仿宋_GB2312"/>
          <w:kern w:val="0"/>
          <w:szCs w:val="28"/>
          <w:highlight w:val="yellow"/>
        </w:rPr>
      </w:pPr>
      <w:r>
        <w:rPr>
          <w:rFonts w:hint="eastAsia" w:cs="仿宋_GB2312"/>
          <w:b/>
          <w:bCs/>
          <w:kern w:val="0"/>
          <w:szCs w:val="28"/>
        </w:rPr>
        <w:t>参与国际标准组织治理。</w:t>
      </w:r>
      <w:r>
        <w:rPr>
          <w:rFonts w:hint="eastAsia" w:cs="仿宋_GB2312"/>
          <w:kern w:val="0"/>
          <w:szCs w:val="28"/>
        </w:rPr>
        <w:t>我国华能集团董事长舒印彪上任</w:t>
      </w:r>
      <w:r>
        <w:rPr>
          <w:rFonts w:cs="仿宋_GB2312"/>
          <w:kern w:val="0"/>
          <w:szCs w:val="28"/>
        </w:rPr>
        <w:t>IEC</w:t>
      </w:r>
      <w:r>
        <w:rPr>
          <w:rFonts w:hint="eastAsia" w:cs="仿宋_GB2312"/>
          <w:kern w:val="0"/>
          <w:szCs w:val="28"/>
        </w:rPr>
        <w:t>第</w:t>
      </w:r>
      <w:r>
        <w:rPr>
          <w:rFonts w:cs="仿宋_GB2312"/>
          <w:kern w:val="0"/>
          <w:szCs w:val="28"/>
        </w:rPr>
        <w:t>36</w:t>
      </w:r>
      <w:r>
        <w:rPr>
          <w:rFonts w:hint="eastAsia" w:cs="仿宋_GB2312"/>
          <w:kern w:val="0"/>
          <w:szCs w:val="28"/>
        </w:rPr>
        <w:t>届主席，成为</w:t>
      </w:r>
      <w:r>
        <w:rPr>
          <w:rFonts w:cs="仿宋_GB2312"/>
          <w:kern w:val="0"/>
          <w:szCs w:val="28"/>
        </w:rPr>
        <w:t>IEC</w:t>
      </w:r>
      <w:r>
        <w:rPr>
          <w:rFonts w:hint="eastAsia" w:cs="仿宋_GB2312"/>
          <w:kern w:val="0"/>
          <w:szCs w:val="28"/>
        </w:rPr>
        <w:t>百年史上首位中国主席。舒印彪主席</w:t>
      </w:r>
      <w:r>
        <w:rPr>
          <w:rFonts w:hint="eastAsia"/>
        </w:rPr>
        <w:t>在世界标准合作组织会议和G20利雅得国际标准峰会发出倡议，呼吁加强应对公共卫生安全突发事件国际标准合作，主持开展IEC治理体系变革工作。1名中国专家赴ISO总部任职2年并担任技术管理职务。</w:t>
      </w:r>
    </w:p>
    <w:p>
      <w:pPr>
        <w:spacing w:line="594" w:lineRule="exact"/>
        <w:ind w:firstLine="546" w:firstLineChars="200"/>
        <w:jc w:val="both"/>
        <w:rPr>
          <w:rFonts w:cs="仿宋_GB2312"/>
          <w:kern w:val="0"/>
          <w:szCs w:val="28"/>
        </w:rPr>
      </w:pPr>
      <w:r>
        <w:rPr>
          <w:rFonts w:hint="eastAsia" w:cs="仿宋_GB2312"/>
          <w:b/>
          <w:bCs/>
          <w:kern w:val="0"/>
          <w:szCs w:val="28"/>
        </w:rPr>
        <w:t>参与国际标准制定活动。</w:t>
      </w:r>
      <w:r>
        <w:rPr>
          <w:rFonts w:hint="eastAsia" w:cs="仿宋_GB2312"/>
          <w:kern w:val="0"/>
          <w:szCs w:val="28"/>
        </w:rPr>
        <w:t>大力鼓励企业和社会团体参与国际标准化活动，编译发布了</w:t>
      </w:r>
      <w:r>
        <w:rPr>
          <w:rFonts w:cs="仿宋_GB2312"/>
          <w:kern w:val="0"/>
          <w:szCs w:val="28"/>
        </w:rPr>
        <w:t>ISO/IEC</w:t>
      </w:r>
      <w:r>
        <w:rPr>
          <w:rFonts w:hint="eastAsia" w:cs="仿宋_GB2312"/>
          <w:kern w:val="0"/>
          <w:szCs w:val="28"/>
        </w:rPr>
        <w:t>导则中文版和企业参与国际标准化活动指南，向社会公开国际标准组织国内技术对口</w:t>
      </w:r>
      <w:r>
        <w:rPr>
          <w:rFonts w:hint="eastAsia" w:cs="仿宋_GB2312"/>
          <w:kern w:val="0"/>
          <w:szCs w:val="28"/>
          <w:lang w:eastAsia="zh-CN"/>
        </w:rPr>
        <w:t>单位</w:t>
      </w:r>
      <w:r>
        <w:rPr>
          <w:rFonts w:hint="eastAsia" w:cs="仿宋_GB2312"/>
          <w:kern w:val="0"/>
          <w:szCs w:val="28"/>
        </w:rPr>
        <w:t>信息，</w:t>
      </w:r>
      <w:r>
        <w:rPr>
          <w:rFonts w:hint="eastAsia" w:cs="仿宋_GB2312"/>
          <w:kern w:val="0"/>
          <w:szCs w:val="28"/>
          <w:lang w:eastAsia="zh-CN"/>
        </w:rPr>
        <w:t>畅通参与国际标准化活动联系渠道，</w:t>
      </w:r>
      <w:r>
        <w:rPr>
          <w:rFonts w:hint="eastAsia" w:cs="仿宋_GB2312"/>
          <w:kern w:val="0"/>
          <w:szCs w:val="28"/>
        </w:rPr>
        <w:t>试行企业和社会团体参与国际标准化活动快速程序。</w:t>
      </w:r>
    </w:p>
    <w:p>
      <w:pPr>
        <w:spacing w:line="594" w:lineRule="exact"/>
        <w:ind w:firstLine="546" w:firstLineChars="200"/>
        <w:jc w:val="both"/>
      </w:pPr>
      <w:r>
        <w:rPr>
          <w:rFonts w:hint="eastAsia"/>
          <w:b/>
          <w:bCs/>
          <w:lang w:eastAsia="zh-CN"/>
        </w:rPr>
        <w:t>助推</w:t>
      </w:r>
      <w:r>
        <w:rPr>
          <w:rFonts w:hint="eastAsia"/>
          <w:b/>
          <w:bCs/>
        </w:rPr>
        <w:t>国际标准体系</w:t>
      </w:r>
      <w:r>
        <w:rPr>
          <w:rFonts w:hint="eastAsia"/>
          <w:b/>
          <w:bCs/>
          <w:lang w:eastAsia="zh-CN"/>
        </w:rPr>
        <w:t>不断</w:t>
      </w:r>
      <w:r>
        <w:rPr>
          <w:rFonts w:hint="eastAsia"/>
          <w:b/>
          <w:bCs/>
        </w:rPr>
        <w:t>完善。</w:t>
      </w:r>
      <w:r>
        <w:t>2020</w:t>
      </w:r>
      <w:r>
        <w:rPr>
          <w:rFonts w:hint="eastAsia"/>
        </w:rPr>
        <w:t>年，我国在新能源、新材料、量子计算、智能制造、电工电子等领域广泛开展国际合作，积极承担锂技术委员会（</w:t>
      </w:r>
      <w:r>
        <w:t>ISO/TC 333</w:t>
      </w:r>
      <w:r>
        <w:rPr>
          <w:rFonts w:hint="eastAsia"/>
        </w:rPr>
        <w:t>），</w:t>
      </w:r>
      <w:r>
        <w:t>IEC</w:t>
      </w:r>
      <w:r>
        <w:rPr>
          <w:rFonts w:hint="eastAsia"/>
        </w:rPr>
        <w:t>电力场站低压辅助系统技术委员会（</w:t>
      </w:r>
      <w:r>
        <w:t>IEC/TC 127</w:t>
      </w:r>
      <w:r>
        <w:rPr>
          <w:rFonts w:hint="eastAsia"/>
        </w:rPr>
        <w:t>）等技术机构领导职务和秘书处。</w:t>
      </w:r>
    </w:p>
    <w:p>
      <w:pPr>
        <w:spacing w:line="594" w:lineRule="exact"/>
        <w:ind w:firstLine="546" w:firstLineChars="200"/>
        <w:outlineLvl w:val="1"/>
        <w:rPr>
          <w:rFonts w:ascii="楷体_GB2312" w:eastAsia="楷体_GB2312" w:cs="楷体_GB2312"/>
          <w:b/>
          <w:bCs/>
          <w:szCs w:val="28"/>
        </w:rPr>
      </w:pPr>
      <w:bookmarkStart w:id="96" w:name="_Toc74579981"/>
      <w:bookmarkStart w:id="97" w:name="_Toc74580146"/>
      <w:r>
        <w:rPr>
          <w:rFonts w:hint="eastAsia" w:ascii="楷体_GB2312" w:eastAsia="楷体_GB2312" w:cs="楷体_GB2312"/>
          <w:b/>
          <w:bCs/>
          <w:szCs w:val="28"/>
        </w:rPr>
        <w:t>（二）双多边交流</w:t>
      </w:r>
      <w:bookmarkEnd w:id="96"/>
      <w:bookmarkEnd w:id="97"/>
    </w:p>
    <w:p>
      <w:pPr>
        <w:spacing w:line="594" w:lineRule="exact"/>
        <w:ind w:firstLine="546" w:firstLineChars="200"/>
        <w:jc w:val="both"/>
        <w:rPr>
          <w:rFonts w:cs="仿宋_GB2312"/>
          <w:szCs w:val="28"/>
        </w:rPr>
      </w:pPr>
      <w:r>
        <w:rPr>
          <w:rFonts w:hint="eastAsia" w:cs="仿宋_GB2312"/>
          <w:szCs w:val="28"/>
        </w:rPr>
        <w:t>2020年，东北亚</w:t>
      </w:r>
      <w:r>
        <w:rPr>
          <w:rFonts w:hint="eastAsia" w:cs="仿宋_GB2312"/>
          <w:szCs w:val="28"/>
          <w:lang w:eastAsia="zh-CN"/>
        </w:rPr>
        <w:t>（中日韩）</w:t>
      </w:r>
      <w:r>
        <w:rPr>
          <w:rFonts w:hint="eastAsia" w:cs="仿宋_GB2312"/>
          <w:szCs w:val="28"/>
        </w:rPr>
        <w:t>、中德、中欧、中英、金砖、中国南亚等标准化合作机制持续深化，多次召开双多边合作线上会议，将“分享标准助力疫情防控的经验和成效”作为双多边合作交流的常设议题，推动与相关国家在疫情防控以及各专业领域的交流与合作。推动</w:t>
      </w:r>
      <w:r>
        <w:rPr>
          <w:rFonts w:cs="仿宋_GB2312"/>
          <w:szCs w:val="28"/>
        </w:rPr>
        <w:t>与巴基斯坦、缅甸、哥斯达黎加和非洲标准化组织等4个国家和区域标准机构</w:t>
      </w:r>
      <w:r>
        <w:rPr>
          <w:rFonts w:hint="eastAsia" w:cs="仿宋_GB2312"/>
          <w:szCs w:val="28"/>
        </w:rPr>
        <w:t>签署</w:t>
      </w:r>
      <w:r>
        <w:rPr>
          <w:rFonts w:cs="仿宋_GB2312"/>
          <w:szCs w:val="28"/>
        </w:rPr>
        <w:t>标准化合作文件</w:t>
      </w:r>
      <w:r>
        <w:rPr>
          <w:rFonts w:hint="eastAsia" w:cs="仿宋_GB2312"/>
          <w:szCs w:val="28"/>
        </w:rPr>
        <w:t>。</w:t>
      </w:r>
      <w:r>
        <w:rPr>
          <w:rFonts w:hint="eastAsia" w:cs="仿宋_GB2312"/>
          <w:szCs w:val="28"/>
          <w:lang w:eastAsia="zh-CN"/>
        </w:rPr>
        <w:t>积极</w:t>
      </w:r>
      <w:r>
        <w:rPr>
          <w:rFonts w:hint="eastAsia" w:cs="仿宋_GB2312"/>
          <w:szCs w:val="28"/>
        </w:rPr>
        <w:t>参与太平洋地区标准大会（PASC），亚太经合组织标准分委会（APEC/SCSC）、泛美标准组织（COPANT），欧洲标准组织（CEN/CENELEC）、非洲标准组织（ARSO）等区域标准化组织活动，参加世界贸易组织</w:t>
      </w:r>
      <w:r>
        <w:rPr>
          <w:rFonts w:cs="仿宋_GB2312"/>
          <w:szCs w:val="28"/>
        </w:rPr>
        <w:t>（</w:t>
      </w:r>
      <w:r>
        <w:rPr>
          <w:rFonts w:hint="eastAsia" w:cs="仿宋_GB2312"/>
          <w:szCs w:val="28"/>
        </w:rPr>
        <w:t>WTO</w:t>
      </w:r>
      <w:r>
        <w:rPr>
          <w:rFonts w:cs="仿宋_GB2312"/>
          <w:szCs w:val="28"/>
        </w:rPr>
        <w:t>）</w:t>
      </w:r>
      <w:r>
        <w:rPr>
          <w:rFonts w:hint="eastAsia" w:cs="仿宋_GB2312"/>
          <w:szCs w:val="28"/>
        </w:rPr>
        <w:t>、自贸区谈判有关标准协调工作。</w:t>
      </w:r>
    </w:p>
    <w:p>
      <w:pPr>
        <w:spacing w:line="594" w:lineRule="exact"/>
        <w:ind w:firstLine="546" w:firstLineChars="200"/>
        <w:jc w:val="both"/>
        <w:rPr>
          <w:lang w:bidi="en-US"/>
        </w:rPr>
      </w:pPr>
      <w:r>
        <w:rPr>
          <w:rFonts w:hint="eastAsia"/>
          <w:lang w:bidi="en-US"/>
        </w:rPr>
        <w:t>组织各区域标准化研究中心，对欧洲标准组织（CEN/CENELEC）、太平洋地区标准大会（PASC）、泛美标准组织（COPANT）等3个区域标准组织，以及澳大利亚、日本、美国、德国、印度等10个重点国家的17份标准化战略进行研究，凝练出《主要国际、区域标准组织及部分国家战略汇编》《重点国家标准化战略可借鉴内容》等研究成果，汲取国际、国外标准化工作成功实践经验，推动标准化国际合作。</w:t>
      </w:r>
    </w:p>
    <w:p>
      <w:pPr>
        <w:spacing w:line="594" w:lineRule="exact"/>
        <w:ind w:firstLine="546" w:firstLineChars="200"/>
        <w:outlineLvl w:val="1"/>
        <w:rPr>
          <w:rFonts w:ascii="楷体_GB2312" w:eastAsia="楷体_GB2312" w:cs="楷体_GB2312"/>
          <w:b/>
          <w:bCs/>
          <w:szCs w:val="28"/>
        </w:rPr>
      </w:pPr>
      <w:bookmarkStart w:id="98" w:name="_Toc74579982"/>
      <w:bookmarkStart w:id="99" w:name="_Toc74580147"/>
      <w:r>
        <w:rPr>
          <w:rFonts w:hint="eastAsia" w:ascii="楷体_GB2312" w:eastAsia="楷体_GB2312" w:cs="楷体_GB2312"/>
          <w:b/>
          <w:bCs/>
          <w:szCs w:val="28"/>
        </w:rPr>
        <w:t>（三）一带一路建设</w:t>
      </w:r>
      <w:bookmarkEnd w:id="98"/>
      <w:bookmarkEnd w:id="99"/>
    </w:p>
    <w:p>
      <w:pPr>
        <w:spacing w:line="594" w:lineRule="exact"/>
        <w:ind w:firstLine="546" w:firstLineChars="200"/>
        <w:jc w:val="both"/>
        <w:rPr>
          <w:rFonts w:cs="仿宋_GB2312"/>
          <w:szCs w:val="28"/>
        </w:rPr>
      </w:pPr>
      <w:r>
        <w:rPr>
          <w:rFonts w:hint="eastAsia" w:cs="仿宋_GB2312"/>
          <w:b/>
          <w:bCs/>
          <w:szCs w:val="28"/>
        </w:rPr>
        <w:t>专业领域标准合作</w:t>
      </w:r>
      <w:r>
        <w:rPr>
          <w:rFonts w:hint="eastAsia" w:cs="仿宋_GB2312"/>
          <w:szCs w:val="28"/>
        </w:rPr>
        <w:t>，与水利部及联合国工业发展组织合作，推动制定小水电国际标准，与联合国工业发展组织合作，推动在ISO建立实验室设计技术委员会工作等。持续推进中俄民机互认工作，完成联合编制标准的需求征集，与俄方共同确认联合开展《运输类飞机舱内声学设计要求》标准研制工作。推动将《通用硅酸盐水泥》等8项我国水泥标准转化为蒙古国家标准。</w:t>
      </w:r>
    </w:p>
    <w:p>
      <w:pPr>
        <w:spacing w:line="594" w:lineRule="exact"/>
        <w:ind w:firstLine="546" w:firstLineChars="200"/>
        <w:jc w:val="both"/>
        <w:rPr>
          <w:rFonts w:cs="仿宋_GB2312"/>
          <w:szCs w:val="28"/>
        </w:rPr>
      </w:pPr>
      <w:r>
        <w:rPr>
          <w:rFonts w:hint="eastAsia" w:cs="仿宋_GB2312"/>
          <w:b/>
          <w:bCs/>
          <w:szCs w:val="28"/>
        </w:rPr>
        <w:t>标准海外</w:t>
      </w:r>
      <w:r>
        <w:rPr>
          <w:rFonts w:hint="eastAsia" w:cs="仿宋_GB2312"/>
          <w:b/>
          <w:bCs/>
          <w:szCs w:val="28"/>
          <w:lang w:eastAsia="zh-CN"/>
        </w:rPr>
        <w:t>合作</w:t>
      </w:r>
      <w:r>
        <w:rPr>
          <w:rFonts w:hint="eastAsia" w:cs="仿宋_GB2312"/>
          <w:b/>
          <w:bCs/>
          <w:szCs w:val="28"/>
        </w:rPr>
        <w:t>示范</w:t>
      </w:r>
      <w:r>
        <w:rPr>
          <w:rFonts w:hint="eastAsia" w:cs="仿宋_GB2312"/>
          <w:szCs w:val="28"/>
        </w:rPr>
        <w:t>，</w:t>
      </w:r>
      <w:r>
        <w:rPr>
          <w:rFonts w:hint="eastAsia" w:cs="仿宋_GB2312"/>
          <w:szCs w:val="28"/>
          <w:lang w:eastAsia="zh-CN"/>
        </w:rPr>
        <w:t>与</w:t>
      </w:r>
      <w:r>
        <w:rPr>
          <w:rFonts w:hint="eastAsia" w:cs="仿宋_GB2312"/>
          <w:szCs w:val="28"/>
        </w:rPr>
        <w:t>蒙古</w:t>
      </w:r>
      <w:r>
        <w:rPr>
          <w:rFonts w:hint="eastAsia" w:cs="仿宋_GB2312"/>
          <w:szCs w:val="28"/>
          <w:lang w:eastAsia="zh-CN"/>
        </w:rPr>
        <w:t>国合作</w:t>
      </w:r>
      <w:r>
        <w:rPr>
          <w:rFonts w:hint="eastAsia" w:cs="仿宋_GB2312"/>
          <w:szCs w:val="28"/>
        </w:rPr>
        <w:t>建立水泥标准示范区</w:t>
      </w:r>
      <w:r>
        <w:rPr>
          <w:rFonts w:hint="eastAsia" w:cs="仿宋_GB2312"/>
          <w:szCs w:val="28"/>
          <w:lang w:eastAsia="zh-CN"/>
        </w:rPr>
        <w:t>，与</w:t>
      </w:r>
      <w:r>
        <w:rPr>
          <w:rFonts w:hint="eastAsia" w:cs="仿宋_GB2312"/>
          <w:szCs w:val="28"/>
        </w:rPr>
        <w:t>巴布亚新几内亚</w:t>
      </w:r>
      <w:r>
        <w:rPr>
          <w:rFonts w:hint="eastAsia" w:cs="仿宋_GB2312"/>
          <w:szCs w:val="28"/>
          <w:lang w:eastAsia="zh-CN"/>
        </w:rPr>
        <w:t>合作</w:t>
      </w:r>
      <w:r>
        <w:rPr>
          <w:rFonts w:hint="eastAsia" w:cs="仿宋_GB2312"/>
          <w:szCs w:val="28"/>
        </w:rPr>
        <w:t>建立冶金标准示范项目</w:t>
      </w:r>
      <w:r>
        <w:rPr>
          <w:rFonts w:hint="eastAsia" w:cs="仿宋_GB2312"/>
          <w:szCs w:val="28"/>
          <w:lang w:eastAsia="zh-CN"/>
        </w:rPr>
        <w:t>，</w:t>
      </w:r>
      <w:r>
        <w:rPr>
          <w:rFonts w:hint="eastAsia" w:cs="仿宋_GB2312"/>
          <w:szCs w:val="28"/>
        </w:rPr>
        <w:t>在越南、老挝、柬埔寨、缅甸等国</w:t>
      </w:r>
      <w:r>
        <w:rPr>
          <w:rFonts w:hint="eastAsia" w:cs="仿宋_GB2312"/>
          <w:szCs w:val="28"/>
          <w:lang w:eastAsia="zh-CN"/>
        </w:rPr>
        <w:t>合作</w:t>
      </w:r>
      <w:r>
        <w:rPr>
          <w:rFonts w:hint="eastAsia" w:cs="仿宋_GB2312"/>
          <w:szCs w:val="28"/>
        </w:rPr>
        <w:t>建设的农业标准化示范区取得良好效果。</w:t>
      </w:r>
    </w:p>
    <w:p>
      <w:pPr>
        <w:spacing w:line="594" w:lineRule="exact"/>
        <w:ind w:firstLine="546" w:firstLineChars="200"/>
        <w:jc w:val="both"/>
        <w:rPr>
          <w:rFonts w:cs="仿宋_GB2312"/>
          <w:szCs w:val="28"/>
        </w:rPr>
      </w:pPr>
      <w:r>
        <w:rPr>
          <w:rFonts w:hint="eastAsia" w:cs="仿宋_GB2312"/>
          <w:b/>
          <w:bCs/>
          <w:szCs w:val="28"/>
        </w:rPr>
        <w:t>标准信息共享</w:t>
      </w:r>
      <w:r>
        <w:rPr>
          <w:rFonts w:hint="eastAsia" w:cs="仿宋_GB2312"/>
          <w:b/>
          <w:bCs/>
          <w:szCs w:val="28"/>
          <w:lang w:eastAsia="zh-CN"/>
        </w:rPr>
        <w:t>交流</w:t>
      </w:r>
      <w:r>
        <w:rPr>
          <w:rFonts w:hint="eastAsia" w:cs="仿宋_GB2312"/>
          <w:szCs w:val="28"/>
        </w:rPr>
        <w:t>，不断完善“一带一路”共建国家标准信息平台，形成涵盖4</w:t>
      </w:r>
      <w:r>
        <w:rPr>
          <w:rFonts w:cs="仿宋_GB2312"/>
          <w:szCs w:val="28"/>
        </w:rPr>
        <w:t>5</w:t>
      </w:r>
      <w:r>
        <w:rPr>
          <w:rFonts w:hint="eastAsia" w:cs="仿宋_GB2312"/>
          <w:szCs w:val="28"/>
        </w:rPr>
        <w:t>个“一带一路”国家、5个国际和区域标准化组织的标准题录数据库。积极推进与“一带一路”共建国家开展标准信息交换。目前标准委已与西班牙、俄罗斯、新加坡等8个国家和地区的标准化机构开展标准信息交换。</w:t>
      </w:r>
    </w:p>
    <w:p>
      <w:pPr>
        <w:spacing w:line="594" w:lineRule="exact"/>
        <w:ind w:firstLine="626" w:firstLineChars="200"/>
        <w:jc w:val="both"/>
        <w:outlineLvl w:val="0"/>
        <w:rPr>
          <w:rFonts w:ascii="黑体" w:hAnsi="黑体" w:eastAsia="黑体" w:cs="黑体"/>
          <w:sz w:val="32"/>
          <w:szCs w:val="32"/>
        </w:rPr>
        <w:sectPr>
          <w:pgSz w:w="11906" w:h="16838"/>
          <w:pgMar w:top="1985" w:right="1361" w:bottom="1361" w:left="1588" w:header="851" w:footer="1418" w:gutter="0"/>
          <w:cols w:space="720" w:num="1"/>
          <w:docGrid w:type="linesAndChars" w:linePitch="286" w:charSpace="-1638"/>
        </w:sectPr>
      </w:pPr>
    </w:p>
    <w:p>
      <w:pPr>
        <w:spacing w:line="594" w:lineRule="exact"/>
        <w:ind w:firstLine="626" w:firstLineChars="200"/>
        <w:outlineLvl w:val="0"/>
        <w:rPr>
          <w:rFonts w:ascii="黑体" w:hAnsi="黑体" w:eastAsia="黑体" w:cs="黑体"/>
          <w:sz w:val="32"/>
          <w:szCs w:val="32"/>
        </w:rPr>
      </w:pPr>
      <w:bookmarkStart w:id="100" w:name="_Toc74579983"/>
      <w:bookmarkStart w:id="101" w:name="_Toc19829"/>
      <w:bookmarkStart w:id="102" w:name="_Toc74734656"/>
      <w:bookmarkStart w:id="103" w:name="_Toc4697"/>
      <w:r>
        <w:rPr>
          <w:rFonts w:hint="eastAsia" w:ascii="黑体" w:hAnsi="黑体" w:eastAsia="黑体" w:cs="黑体"/>
          <w:sz w:val="32"/>
          <w:szCs w:val="32"/>
        </w:rPr>
        <w:t>四、基础建设</w:t>
      </w:r>
      <w:bookmarkEnd w:id="100"/>
      <w:bookmarkEnd w:id="101"/>
      <w:bookmarkEnd w:id="102"/>
      <w:bookmarkEnd w:id="103"/>
    </w:p>
    <w:p>
      <w:pPr>
        <w:spacing w:line="594" w:lineRule="exact"/>
        <w:ind w:firstLine="546" w:firstLineChars="200"/>
        <w:jc w:val="both"/>
        <w:outlineLvl w:val="1"/>
        <w:rPr>
          <w:rFonts w:ascii="楷体_GB2312" w:eastAsia="楷体_GB2312" w:cs="楷体_GB2312"/>
          <w:b/>
          <w:bCs/>
          <w:szCs w:val="28"/>
        </w:rPr>
      </w:pPr>
      <w:bookmarkStart w:id="104" w:name="_Toc74580139"/>
      <w:bookmarkStart w:id="105" w:name="_Toc74579974"/>
      <w:bookmarkStart w:id="106" w:name="_Toc74580149"/>
      <w:bookmarkStart w:id="107" w:name="_Toc74579984"/>
      <w:r>
        <w:rPr>
          <w:rFonts w:hint="eastAsia" w:ascii="楷体_GB2312" w:eastAsia="楷体_GB2312" w:cs="楷体_GB2312"/>
          <w:b/>
          <w:bCs/>
          <w:szCs w:val="28"/>
        </w:rPr>
        <w:t>（一）理论研究</w:t>
      </w:r>
    </w:p>
    <w:p>
      <w:pPr>
        <w:spacing w:line="594" w:lineRule="exact"/>
        <w:ind w:firstLine="546" w:firstLineChars="200"/>
        <w:jc w:val="both"/>
        <w:rPr>
          <w:rFonts w:hAnsi="Times"/>
          <w:snapToGrid w:val="0"/>
        </w:rPr>
      </w:pPr>
      <w:r>
        <w:rPr>
          <w:rFonts w:hint="eastAsia"/>
        </w:rPr>
        <w:t>中国</w:t>
      </w:r>
      <w:r>
        <w:t>工程院</w:t>
      </w:r>
      <w:r>
        <w:rPr>
          <w:rFonts w:hint="eastAsia"/>
        </w:rPr>
        <w:t>数十位院士领衔，340多位专家参与，开展</w:t>
      </w:r>
      <w:r>
        <w:rPr>
          <w:rFonts w:hint="eastAsia"/>
          <w:lang w:eastAsia="zh-CN"/>
        </w:rPr>
        <w:t>国家</w:t>
      </w:r>
      <w:r>
        <w:t>标准化</w:t>
      </w:r>
      <w:r>
        <w:rPr>
          <w:rFonts w:hint="eastAsia"/>
          <w:lang w:eastAsia="zh-CN"/>
        </w:rPr>
        <w:t>发展</w:t>
      </w:r>
      <w:r>
        <w:rPr>
          <w:rFonts w:hint="eastAsia"/>
        </w:rPr>
        <w:t>若干</w:t>
      </w:r>
      <w:r>
        <w:t>重大问题研究。</w:t>
      </w:r>
      <w:r>
        <w:rPr>
          <w:rFonts w:hint="eastAsia"/>
        </w:rPr>
        <w:t>项目组走访调研了北京、大理、成都、重庆、福州、厦门等地</w:t>
      </w:r>
      <w:r>
        <w:rPr>
          <w:rFonts w:hint="eastAsia"/>
          <w:lang w:eastAsia="zh-CN"/>
        </w:rPr>
        <w:t>。</w:t>
      </w:r>
      <w:r>
        <w:rPr>
          <w:rFonts w:hint="eastAsia"/>
        </w:rPr>
        <w:t>以重大问题为导向，</w:t>
      </w:r>
      <w:r>
        <w:rPr>
          <w:rFonts w:hint="eastAsia"/>
          <w:lang w:eastAsia="zh-CN"/>
        </w:rPr>
        <w:t>结合中央通过的国民经济社会发展“十四五”规划和</w:t>
      </w:r>
      <w:r>
        <w:rPr>
          <w:rFonts w:hint="eastAsia"/>
          <w:lang w:val="en-US" w:eastAsia="zh-CN"/>
        </w:rPr>
        <w:t>2035年远景目标建议，</w:t>
      </w:r>
      <w:r>
        <w:rPr>
          <w:rFonts w:hint="eastAsia"/>
        </w:rPr>
        <w:t>深入研究</w:t>
      </w:r>
      <w:r>
        <w:rPr>
          <w:rFonts w:hint="eastAsia"/>
          <w:lang w:eastAsia="zh-CN"/>
        </w:rPr>
        <w:t>了</w:t>
      </w:r>
      <w:r>
        <w:rPr>
          <w:rFonts w:hint="eastAsia"/>
        </w:rPr>
        <w:t>国家标准化</w:t>
      </w:r>
      <w:r>
        <w:rPr>
          <w:rFonts w:hint="eastAsia"/>
          <w:lang w:eastAsia="zh-CN"/>
        </w:rPr>
        <w:t>服务发展的目标、任务</w:t>
      </w:r>
      <w:r>
        <w:rPr>
          <w:rFonts w:hint="eastAsia"/>
        </w:rPr>
        <w:t>、中国标准化体系方法和评价、支撑高质量发展的标准化体系</w:t>
      </w:r>
      <w:r>
        <w:rPr>
          <w:rFonts w:hint="eastAsia"/>
          <w:lang w:eastAsia="zh-CN"/>
        </w:rPr>
        <w:t>建设</w:t>
      </w:r>
      <w:r>
        <w:rPr>
          <w:rFonts w:hint="eastAsia"/>
        </w:rPr>
        <w:t>等内容，研究项目</w:t>
      </w:r>
      <w:r>
        <w:rPr>
          <w:rFonts w:hint="eastAsia"/>
          <w:lang w:eastAsia="zh-CN"/>
        </w:rPr>
        <w:t>对</w:t>
      </w:r>
      <w:r>
        <w:rPr>
          <w:rFonts w:hint="eastAsia"/>
        </w:rPr>
        <w:t>科技成果转化为标准的量化指标、面向2035年</w:t>
      </w:r>
      <w:r>
        <w:rPr>
          <w:rFonts w:hint="eastAsia"/>
          <w:lang w:eastAsia="zh-CN"/>
        </w:rPr>
        <w:t>标准化</w:t>
      </w:r>
      <w:r>
        <w:rPr>
          <w:rFonts w:hint="eastAsia"/>
        </w:rPr>
        <w:t>发展方向和改革思路、标准实施效果评价、</w:t>
      </w:r>
      <w:r>
        <w:rPr>
          <w:rFonts w:hint="eastAsia"/>
          <w:lang w:eastAsia="zh-CN"/>
        </w:rPr>
        <w:t>推进</w:t>
      </w:r>
      <w:r>
        <w:rPr>
          <w:rFonts w:hint="eastAsia"/>
        </w:rPr>
        <w:t>标准国际化等</w:t>
      </w:r>
      <w:r>
        <w:rPr>
          <w:rFonts w:hint="eastAsia"/>
          <w:lang w:eastAsia="zh-CN"/>
        </w:rPr>
        <w:t>重要</w:t>
      </w:r>
      <w:r>
        <w:rPr>
          <w:rFonts w:hint="eastAsia"/>
        </w:rPr>
        <w:t>问题</w:t>
      </w:r>
      <w:r>
        <w:rPr>
          <w:rFonts w:hint="eastAsia"/>
          <w:lang w:eastAsia="zh-CN"/>
        </w:rPr>
        <w:t>提出了意见建议</w:t>
      </w:r>
      <w:r>
        <w:rPr>
          <w:rFonts w:hint="eastAsia"/>
        </w:rPr>
        <w:t>。</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（二）标准审评</w:t>
      </w:r>
    </w:p>
    <w:p>
      <w:pPr>
        <w:spacing w:line="594" w:lineRule="exact"/>
        <w:ind w:firstLine="546" w:firstLineChars="200"/>
        <w:jc w:val="both"/>
      </w:pPr>
      <w:r>
        <w:rPr>
          <w:rFonts w:hint="eastAsia" w:cs="仿宋_GB2312"/>
          <w:szCs w:val="28"/>
        </w:rPr>
        <w:t>推进</w:t>
      </w:r>
      <w:r>
        <w:rPr>
          <w:rFonts w:hint="eastAsia"/>
        </w:rPr>
        <w:t>标准审评工作改革的顶层设计，成立了标准审评专家咨询委员会及专业领域专家工作组。实现审评业务流程与组织架构的整合，统一了审评尺度，审评工作质量和时效得到进一步提高。2020年共完成国家标准技术审评7700余项，国家标准外文版立项评估1600项，完成了2015年前的国家标准计划项目再评估工作2221余项，考核评估专业标准化技术委员会110家，评审国际标准提案29项，完成技术性贸易措施通报审核130项。</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（三）</w:t>
      </w:r>
      <w:bookmarkEnd w:id="104"/>
      <w:bookmarkEnd w:id="105"/>
      <w:r>
        <w:rPr>
          <w:rFonts w:hint="eastAsia" w:ascii="楷体_GB2312" w:eastAsia="楷体_GB2312" w:cs="楷体_GB2312"/>
          <w:b/>
          <w:bCs/>
          <w:szCs w:val="28"/>
        </w:rPr>
        <w:t>标准实施信息反馈和评估</w:t>
      </w:r>
    </w:p>
    <w:p>
      <w:pPr>
        <w:autoSpaceDE w:val="0"/>
        <w:autoSpaceDN w:val="0"/>
        <w:adjustRightInd w:val="0"/>
        <w:spacing w:line="594" w:lineRule="exact"/>
        <w:ind w:firstLine="546" w:firstLineChars="200"/>
        <w:jc w:val="both"/>
      </w:pPr>
      <w:r>
        <w:rPr>
          <w:rFonts w:hint="eastAsia"/>
        </w:rPr>
        <w:t>强化标准实施信息反馈和评估制度建设，组织制定《总局内部司局标准实施信息反馈联动机制方案》《国家标准实施信息反馈内部运行规则（试行）》等制度文件。优化国家标准实施信息反馈平台，收集分析反馈信息2390条。扩大国家标准实施评估试点范围，组织11家单位开展塑料管材、金融服务、政务服务等领域72项国家标准实施效果评估工作。</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（四）标准化技术创新</w:t>
      </w:r>
    </w:p>
    <w:p>
      <w:pPr>
        <w:autoSpaceDE w:val="0"/>
        <w:autoSpaceDN w:val="0"/>
        <w:adjustRightInd w:val="0"/>
        <w:spacing w:line="594" w:lineRule="exact"/>
        <w:ind w:firstLine="546" w:firstLineChars="200"/>
        <w:jc w:val="both"/>
      </w:pPr>
      <w:r>
        <w:rPr>
          <w:rFonts w:hint="eastAsia"/>
        </w:rPr>
        <w:t>批准筹建空间科学与应用、水环境技术与装备、建筑工程、智能铸造、蔬菜</w:t>
      </w:r>
      <w:r>
        <w:rPr>
          <w:rFonts w:hint="eastAsia"/>
          <w:lang w:eastAsia="zh-CN"/>
        </w:rPr>
        <w:t>等</w:t>
      </w:r>
      <w:r>
        <w:rPr>
          <w:rFonts w:hint="eastAsia"/>
        </w:rPr>
        <w:t>5家国家技术标准创新基地，完成14家创新基地验收。截至</w:t>
      </w:r>
      <w:r>
        <w:t>2020</w:t>
      </w:r>
      <w:r>
        <w:rPr>
          <w:rFonts w:hint="eastAsia"/>
        </w:rPr>
        <w:t>年底，国家技术标准创新基地达到</w:t>
      </w:r>
      <w:r>
        <w:t>47</w:t>
      </w:r>
      <w:r>
        <w:rPr>
          <w:rFonts w:hint="eastAsia"/>
        </w:rPr>
        <w:t>家，创新基地布局日趋完善、资源汇聚能力不断增强、影响力持续提升。2020年，共推动126项具有应用潜力的先进科技成果转化为技术标准，其中国际标准89项、国家标准392项，新提出国际标准提案151项，开展130项先进技术标准推广示范。</w:t>
      </w:r>
      <w:r>
        <w:t xml:space="preserve"> </w:t>
      </w:r>
    </w:p>
    <w:p>
      <w:pPr>
        <w:spacing w:line="594" w:lineRule="exact"/>
        <w:ind w:firstLine="546" w:firstLineChars="200"/>
        <w:jc w:val="both"/>
        <w:outlineLvl w:val="1"/>
        <w:rPr>
          <w:rFonts w:ascii="楷体_GB2312" w:eastAsia="楷体_GB2312" w:cs="楷体_GB2312"/>
          <w:b/>
          <w:bCs/>
          <w:szCs w:val="28"/>
        </w:rPr>
      </w:pPr>
      <w:bookmarkStart w:id="108" w:name="_Toc74580151"/>
      <w:bookmarkStart w:id="109" w:name="_Toc74579986"/>
      <w:r>
        <w:rPr>
          <w:rFonts w:hint="eastAsia" w:ascii="楷体_GB2312" w:eastAsia="楷体_GB2312" w:cs="楷体_GB2312"/>
          <w:b/>
          <w:bCs/>
          <w:szCs w:val="28"/>
        </w:rPr>
        <w:t>（五）标准化教育</w:t>
      </w:r>
      <w:bookmarkEnd w:id="108"/>
      <w:bookmarkEnd w:id="109"/>
      <w:r>
        <w:rPr>
          <w:rFonts w:hint="eastAsia" w:ascii="楷体_GB2312" w:eastAsia="楷体_GB2312" w:cs="楷体_GB2312"/>
          <w:b/>
          <w:bCs/>
          <w:szCs w:val="28"/>
        </w:rPr>
        <w:t>培训</w:t>
      </w:r>
    </w:p>
    <w:p>
      <w:pPr>
        <w:spacing w:line="594" w:lineRule="exact"/>
        <w:ind w:firstLine="546" w:firstLineChars="200"/>
        <w:jc w:val="both"/>
      </w:pPr>
      <w:r>
        <w:rPr>
          <w:rFonts w:hint="eastAsia"/>
        </w:rPr>
        <w:t>组织召开全国标准化学科建设战略联盟年会，组织编制《我国高校标准化人才培养蓝皮书》，支持大理大学等院校设立标准化学院。推进标准化职业教育，落实国家职业教育“1+X”试点，开展标准化职业技能“1+X”证书申报，开展标准化师资库和教育培训教材库建设。在郑州市探索开展设立企业标准化专岗试点。与IEC签署全球首个能力建设合作宣言，在我国率先开启国际标准化本科人才培养、行业精英人才培养计划以及下一代青年英才多层次培养计划。启动2020年IEC青年专家选培行动，共征集275名青年专家报名，规模超2</w:t>
      </w:r>
      <w:r>
        <w:t>019</w:t>
      </w:r>
      <w:r>
        <w:rPr>
          <w:rFonts w:hint="eastAsia"/>
        </w:rPr>
        <w:t>年2倍。组织中国代表队参加第15届国际标准奥林匹克竞赛，6名同学获奖，加强了青少年标准化知识宣传普及。</w:t>
      </w:r>
    </w:p>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（六）标准化宣传推广</w:t>
      </w:r>
    </w:p>
    <w:p>
      <w:pPr>
        <w:autoSpaceDE w:val="0"/>
        <w:autoSpaceDN w:val="0"/>
        <w:adjustRightInd w:val="0"/>
        <w:spacing w:line="594" w:lineRule="exact"/>
        <w:ind w:firstLine="546" w:firstLineChars="200"/>
        <w:jc w:val="both"/>
      </w:pPr>
      <w:r>
        <w:rPr>
          <w:rFonts w:hint="eastAsia"/>
        </w:rPr>
        <w:t>国家标准全文公开系统功能更加健全，新公开国家标准1276项。以“标准保护地球”为主题，组织全国开展2020年世界标准日宣传活动，标准委联合山西省</w:t>
      </w:r>
      <w:r>
        <w:rPr>
          <w:rFonts w:hint="eastAsia"/>
          <w:lang w:eastAsia="zh-CN"/>
        </w:rPr>
        <w:t>人民政府</w:t>
      </w:r>
      <w:r>
        <w:rPr>
          <w:rFonts w:hint="eastAsia"/>
        </w:rPr>
        <w:t>共同举办2020年世界标准日主题活动。编制发布首部《中国标准化发展年度报告》，全方位展现我国标准化发展成效。开展中国标准创新贡献奖评选，《中国造船质量标准》等60个标准项目、司法鉴定科学研究院等4家单位、刘雪涛等7名个人获奖。</w:t>
      </w:r>
    </w:p>
    <w:bookmarkEnd w:id="106"/>
    <w:bookmarkEnd w:id="107"/>
    <w:p>
      <w:pPr>
        <w:spacing w:line="594" w:lineRule="exact"/>
        <w:ind w:firstLine="546" w:firstLineChars="200"/>
        <w:jc w:val="both"/>
        <w:outlineLvl w:val="1"/>
        <w:rPr>
          <w:rFonts w:ascii="楷体_GB2312" w:eastAsia="楷体_GB2312" w:cs="楷体_GB2312"/>
          <w:b/>
          <w:bCs/>
          <w:szCs w:val="28"/>
        </w:rPr>
      </w:pPr>
      <w:r>
        <w:rPr>
          <w:rFonts w:hint="eastAsia" w:ascii="楷体_GB2312" w:eastAsia="楷体_GB2312" w:cs="楷体_GB2312"/>
          <w:b/>
          <w:bCs/>
          <w:szCs w:val="28"/>
        </w:rPr>
        <w:t>（七）统一社会信用代码和物品编码工作</w:t>
      </w:r>
    </w:p>
    <w:p>
      <w:pPr>
        <w:autoSpaceDE w:val="0"/>
        <w:autoSpaceDN w:val="0"/>
        <w:adjustRightInd w:val="0"/>
        <w:spacing w:line="594" w:lineRule="exact"/>
        <w:ind w:firstLine="546" w:firstLineChars="200"/>
        <w:jc w:val="both"/>
      </w:pPr>
      <w:r>
        <w:rPr>
          <w:rFonts w:hint="eastAsia"/>
        </w:rPr>
        <w:t>统一社会信用代码数据量持续提升，中央数据库共有组织机构数据总量1.35亿，较去年同期增长22.6%，覆盖了我国34类依法成立组织机构，为38个政务部门提供了高效便捷的数据共享服务。中国商品信息数据库数据总量达1.38亿，有效支撑了产品流通、国际贸易和进口冷链食品追溯。深入推动国家物联网标识（Ecode）在线缆等工业产品质量追溯中的应用，服务智慧监管。根据中央事业单位改革要求，物品编码改革工作实现稳妥有序推进。</w:t>
      </w:r>
    </w:p>
    <w:p>
      <w:pPr>
        <w:rPr>
          <w:rFonts w:ascii="黑体" w:hAnsi="黑体" w:eastAsia="黑体" w:cs="黑体"/>
          <w:sz w:val="32"/>
          <w:szCs w:val="32"/>
        </w:rPr>
      </w:pPr>
      <w:bookmarkStart w:id="110" w:name="_Toc74579989"/>
      <w:bookmarkStart w:id="111" w:name="_Toc74734657"/>
      <w:r>
        <w:rPr>
          <w:rFonts w:hint="eastAsia" w:ascii="黑体" w:hAnsi="黑体" w:eastAsia="黑体" w:cs="黑体"/>
          <w:sz w:val="32"/>
          <w:szCs w:val="32"/>
        </w:rPr>
        <w:br w:type="page"/>
      </w:r>
    </w:p>
    <w:p>
      <w:pPr>
        <w:spacing w:line="594" w:lineRule="exact"/>
        <w:ind w:firstLine="626" w:firstLineChars="200"/>
        <w:jc w:val="both"/>
        <w:outlineLvl w:val="0"/>
        <w:rPr>
          <w:rFonts w:eastAsia="黑体"/>
        </w:rPr>
      </w:pPr>
      <w:bookmarkStart w:id="112" w:name="_Toc22"/>
      <w:r>
        <w:rPr>
          <w:rFonts w:hint="eastAsia" w:ascii="黑体" w:hAnsi="黑体" w:eastAsia="黑体" w:cs="黑体"/>
          <w:sz w:val="32"/>
          <w:szCs w:val="32"/>
        </w:rPr>
        <w:t>五、</w:t>
      </w:r>
      <w:bookmarkEnd w:id="110"/>
      <w:bookmarkEnd w:id="111"/>
      <w:r>
        <w:rPr>
          <w:rFonts w:hint="eastAsia" w:ascii="黑体" w:hAnsi="黑体" w:eastAsia="黑体" w:cs="黑体"/>
          <w:sz w:val="32"/>
          <w:szCs w:val="32"/>
        </w:rPr>
        <w:t>典型案例</w:t>
      </w:r>
      <w:bookmarkEnd w:id="112"/>
    </w:p>
    <w:p>
      <w:pPr>
        <w:spacing w:line="594" w:lineRule="exact"/>
        <w:ind w:firstLine="546" w:firstLineChars="200"/>
        <w:jc w:val="both"/>
        <w:outlineLvl w:val="1"/>
        <w:rPr>
          <w:rFonts w:ascii="楷体_GB2312" w:eastAsia="楷体_GB2312" w:cs="楷体_GB2312"/>
          <w:b/>
          <w:bCs/>
          <w:szCs w:val="28"/>
        </w:rPr>
      </w:pPr>
      <w:bookmarkStart w:id="113" w:name="_Toc66724733"/>
      <w:bookmarkStart w:id="114" w:name="_Toc66785316"/>
      <w:bookmarkStart w:id="115" w:name="_Toc74579991"/>
      <w:bookmarkStart w:id="116" w:name="_Toc29859"/>
      <w:bookmarkStart w:id="117" w:name="_Toc7976"/>
      <w:bookmarkStart w:id="118" w:name="_Toc74580156"/>
      <w:r>
        <w:rPr>
          <w:rFonts w:hint="eastAsia" w:ascii="楷体_GB2312" w:eastAsia="楷体_GB2312" w:cs="楷体_GB2312"/>
          <w:b/>
          <w:bCs/>
          <w:szCs w:val="28"/>
        </w:rPr>
        <w:t>（一）个人健康信息码国家标准在精准抗疫中发挥重大作用</w:t>
      </w:r>
      <w:bookmarkEnd w:id="113"/>
      <w:bookmarkEnd w:id="114"/>
      <w:bookmarkEnd w:id="115"/>
      <w:bookmarkEnd w:id="116"/>
      <w:bookmarkEnd w:id="117"/>
      <w:bookmarkEnd w:id="118"/>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新冠肺炎疫情发生后，多地通过手机应用实现了个人健康数据采集和区域内凭码通行等，为精准防疫和复工复产提供了技术支持方案。但由于标准缺失，这些应用存在跨地区互认难、信息重复申报等突出问题。为此，国务院办公厅电子政务办公室和中国电子技术标准化研究院使用快速程序共同制定个人健康信息码系列标准</w:t>
      </w:r>
      <w:r>
        <w:rPr>
          <w:rFonts w:hint="eastAsia" w:hAnsi="仿宋_GB2312" w:cs="仿宋_GB2312"/>
          <w:szCs w:val="28"/>
          <w:lang w:eastAsia="zh-CN"/>
        </w:rPr>
        <w:t>。</w:t>
      </w:r>
      <w:r>
        <w:rPr>
          <w:rFonts w:hint="eastAsia" w:hAnsi="仿宋_GB2312" w:cs="仿宋_GB2312"/>
          <w:szCs w:val="28"/>
        </w:rPr>
        <w:t>2020年4月29日，《个人健康信息码 参考模型》等3项国家标准（GB/T 38961-38963）正式</w:t>
      </w:r>
      <w:r>
        <w:rPr>
          <w:rFonts w:hAnsi="仿宋_GB2312" w:cs="仿宋_GB2312"/>
          <w:szCs w:val="28"/>
        </w:rPr>
        <w:t>发布</w:t>
      </w:r>
      <w:r>
        <w:rPr>
          <w:rFonts w:hint="eastAsia" w:hAnsi="仿宋_GB2312" w:cs="仿宋_GB2312"/>
          <w:szCs w:val="28"/>
        </w:rPr>
        <w:t>，系列标准从立项到发布用时仅14天。</w:t>
      </w:r>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个人健康信息码》系列标准规定了健康码的数据格式、码制组成、展现形式和访问接口，提出了统一的健康码应用系统的参考模型和跨地区互认的技术机制，统筹兼顾健康信息共享利用和个人信息保护。该系列标准还推荐使用自主知识产权的二维码，有助于培育自主技术和产业。</w:t>
      </w:r>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该系列国家标准实施后，一是快速统一全社会对健康码的认识，标准发布的信息在“五一”期间登上热搜榜第二。二是打通健康证明属地限制，依托全国一体化政务服务平台等在全国范围内基本实现了“一码通行”，为人员、物品跨地区流动提供了巨大便利。三是指导相关应用系统集约化建设，大幅减少了功能重复的APP数量，有效遏制了“万码奔腾”乱象。标准实施后，超过10亿台次移动终端安装或更新使用了健康码相关应用，平均每天亮码验证1.2亿次以上，相关标准为我国</w:t>
      </w:r>
      <w:r>
        <w:rPr>
          <w:rFonts w:hint="eastAsia" w:hAnsi="仿宋_GB2312" w:cs="仿宋_GB2312"/>
          <w:szCs w:val="28"/>
          <w:lang w:eastAsia="zh-CN"/>
        </w:rPr>
        <w:t>抗击新冠肺炎疫情和复工复产</w:t>
      </w:r>
      <w:r>
        <w:rPr>
          <w:rFonts w:hint="eastAsia" w:hAnsi="仿宋_GB2312" w:cs="仿宋_GB2312"/>
          <w:szCs w:val="28"/>
        </w:rPr>
        <w:t>发挥了重要支撑作用，经济和社会效益明显。</w:t>
      </w:r>
      <w:bookmarkStart w:id="119" w:name="_Toc74580158"/>
      <w:bookmarkStart w:id="120" w:name="_Toc66724741"/>
      <w:bookmarkStart w:id="121" w:name="_Toc66785324"/>
      <w:bookmarkStart w:id="122" w:name="_Toc4172"/>
      <w:bookmarkStart w:id="123" w:name="_Toc74579993"/>
      <w:bookmarkStart w:id="124" w:name="_Toc4968"/>
    </w:p>
    <w:p>
      <w:pPr>
        <w:spacing w:line="594" w:lineRule="exact"/>
        <w:ind w:firstLine="546" w:firstLineChars="200"/>
        <w:jc w:val="both"/>
        <w:outlineLvl w:val="1"/>
        <w:rPr>
          <w:rFonts w:ascii="楷体_GB2312" w:hAnsi="楷体_GB2312" w:eastAsia="楷体_GB2312" w:cs="楷体_GB2312"/>
          <w:b/>
          <w:szCs w:val="28"/>
        </w:rPr>
      </w:pPr>
      <w:r>
        <w:rPr>
          <w:rFonts w:hint="eastAsia" w:ascii="楷体_GB2312" w:hAnsi="楷体_GB2312" w:eastAsia="楷体_GB2312" w:cs="楷体_GB2312"/>
          <w:b/>
          <w:szCs w:val="28"/>
        </w:rPr>
        <w:t>（二）餐饮分餐制等标准服务疫情防控、复工复产和厉行节约</w:t>
      </w:r>
      <w:bookmarkEnd w:id="119"/>
      <w:bookmarkEnd w:id="120"/>
      <w:bookmarkEnd w:id="121"/>
      <w:bookmarkEnd w:id="122"/>
      <w:bookmarkEnd w:id="123"/>
      <w:bookmarkEnd w:id="124"/>
    </w:p>
    <w:p>
      <w:pPr>
        <w:adjustRightInd w:val="0"/>
        <w:snapToGrid w:val="0"/>
        <w:spacing w:line="594" w:lineRule="exact"/>
        <w:ind w:firstLine="546" w:firstLineChars="200"/>
        <w:jc w:val="both"/>
        <w:rPr>
          <w:rFonts w:hAnsi="仿宋_GB2312" w:cs="仿宋_GB2312"/>
          <w:szCs w:val="28"/>
        </w:rPr>
      </w:pPr>
      <w:r>
        <w:rPr>
          <w:rFonts w:hint="eastAsia" w:hAnsi="仿宋_GB2312" w:cs="仿宋_GB2312"/>
          <w:szCs w:val="28"/>
        </w:rPr>
        <w:t>新冠肺炎疫情给人民生产生活和国家经济发展带来极大影响，特殊时期如何有力加强疫情防控，快速推动复工复产是各行各业亟需解决的问题。山东省市场监管局基于餐饮行业服务特点，聚焦行业复工复产和消费者外出就餐的双向需求，启动地方标准快速工作程序，紧急制定并率先在国内发布实施《餐饮业分餐制设计实施指南》《餐饮无接触供餐指南》等</w:t>
      </w:r>
      <w:r>
        <w:rPr>
          <w:rFonts w:hAnsi="仿宋_GB2312" w:cs="仿宋_GB2312"/>
          <w:szCs w:val="28"/>
        </w:rPr>
        <w:t>12项地方标准，并在总结地方标准运行经验的基础上，主导制定《餐饮分餐制服务指南》</w:t>
      </w:r>
      <w:r>
        <w:rPr>
          <w:rFonts w:hint="eastAsia" w:hAnsi="仿宋_GB2312" w:cs="仿宋_GB2312"/>
          <w:szCs w:val="28"/>
        </w:rPr>
        <w:t>（GB/T 39002）</w:t>
      </w:r>
      <w:r>
        <w:rPr>
          <w:rFonts w:hAnsi="仿宋_GB2312" w:cs="仿宋_GB2312"/>
          <w:szCs w:val="28"/>
        </w:rPr>
        <w:t>和《餐饮业供应链管理指南》</w:t>
      </w:r>
      <w:r>
        <w:rPr>
          <w:rFonts w:hint="eastAsia" w:hAnsi="仿宋_GB2312" w:cs="仿宋_GB2312"/>
          <w:szCs w:val="28"/>
        </w:rPr>
        <w:t>（GB/T 40040）</w:t>
      </w:r>
      <w:r>
        <w:rPr>
          <w:rFonts w:hAnsi="仿宋_GB2312" w:cs="仿宋_GB2312"/>
          <w:szCs w:val="28"/>
        </w:rPr>
        <w:t>国家</w:t>
      </w:r>
      <w:r>
        <w:rPr>
          <w:rFonts w:hint="eastAsia" w:hAnsi="仿宋_GB2312" w:cs="仿宋_GB2312"/>
          <w:szCs w:val="28"/>
        </w:rPr>
        <w:t>标准，为餐饮行业疫情防控提供技术支撑，为餐饮业复工复产提供系统的技术实施方案，为餐饮业的高质量集约发展提供指南。</w:t>
      </w:r>
    </w:p>
    <w:p>
      <w:pPr>
        <w:snapToGrid w:val="0"/>
        <w:spacing w:line="594" w:lineRule="exact"/>
        <w:ind w:firstLine="546" w:firstLineChars="200"/>
        <w:jc w:val="both"/>
        <w:rPr>
          <w:rFonts w:hAnsi="仿宋_GB2312" w:cs="仿宋_GB2312"/>
          <w:color w:val="FF0000"/>
          <w:szCs w:val="28"/>
        </w:rPr>
      </w:pPr>
      <w:r>
        <w:rPr>
          <w:rFonts w:hint="eastAsia" w:hAnsi="仿宋_GB2312" w:cs="仿宋_GB2312"/>
          <w:szCs w:val="28"/>
        </w:rPr>
        <w:t>《</w:t>
      </w:r>
      <w:r>
        <w:rPr>
          <w:rFonts w:hAnsi="仿宋_GB2312" w:cs="仿宋_GB2312"/>
          <w:szCs w:val="28"/>
        </w:rPr>
        <w:t>餐饮分餐制服务指南</w:t>
      </w:r>
      <w:r>
        <w:rPr>
          <w:rFonts w:hint="eastAsia" w:hAnsi="仿宋_GB2312" w:cs="仿宋_GB2312"/>
          <w:szCs w:val="28"/>
        </w:rPr>
        <w:t>》</w:t>
      </w:r>
      <w:r>
        <w:rPr>
          <w:rFonts w:hAnsi="仿宋_GB2312" w:cs="仿宋_GB2312"/>
          <w:szCs w:val="28"/>
        </w:rPr>
        <w:t>针对常用用餐习惯及场景，提出“按位分餐”“公共餐具分餐” “自取分餐”三种分餐方式及公共应急管理要求，给出分餐制的具体实施指南，搭起了从“分餐理念”到“分餐实施”的桥梁，为餐饮企业落实分餐制提供了实施路径，提振了特殊时期用餐群体的消费信心，有效支撑防控措施落实和全面复工复产。</w:t>
      </w:r>
      <w:r>
        <w:rPr>
          <w:rFonts w:hint="eastAsia" w:hAnsi="等线" w:cs="仿宋_GB2312"/>
          <w:szCs w:val="28"/>
          <w:lang w:bidi="ar"/>
        </w:rPr>
        <w:t>目前，舜和集团、凯瑞集团、舜耕餐饮、超意兴餐饮等不同供餐方式的餐饮企业依据标准构建了方便适用的分餐模式。</w:t>
      </w:r>
    </w:p>
    <w:p>
      <w:pPr>
        <w:adjustRightInd w:val="0"/>
        <w:snapToGrid w:val="0"/>
        <w:spacing w:line="594" w:lineRule="exact"/>
        <w:ind w:firstLine="546" w:firstLineChars="200"/>
        <w:jc w:val="both"/>
        <w:rPr>
          <w:rFonts w:ascii="等线" w:hAnsi="等线" w:cs="仿宋_GB2312"/>
          <w:szCs w:val="28"/>
          <w:lang w:bidi="ar"/>
        </w:rPr>
      </w:pPr>
      <w:r>
        <w:rPr>
          <w:rFonts w:hint="eastAsia" w:hAnsi="仿宋_GB2312" w:cs="仿宋_GB2312"/>
          <w:szCs w:val="28"/>
        </w:rPr>
        <w:t>《</w:t>
      </w:r>
      <w:r>
        <w:rPr>
          <w:rFonts w:hAnsi="仿宋_GB2312" w:cs="仿宋_GB2312"/>
          <w:szCs w:val="28"/>
        </w:rPr>
        <w:t>餐饮业供应链管理指南</w:t>
      </w:r>
      <w:r>
        <w:rPr>
          <w:rFonts w:hint="eastAsia" w:hAnsi="仿宋_GB2312" w:cs="仿宋_GB2312"/>
          <w:szCs w:val="28"/>
        </w:rPr>
        <w:t>》</w:t>
      </w:r>
      <w:r>
        <w:rPr>
          <w:rFonts w:hAnsi="仿宋_GB2312" w:cs="仿宋_GB2312"/>
          <w:szCs w:val="28"/>
        </w:rPr>
        <w:t>提出了餐饮业供应链管理的基本模型，以覆盖采购、加工制作、终端消费、物流四大重要环节的产品流为基础，提出信息流与资金流统筹协调的管理指南，并构建了餐饮业供应链管理的关键指标体系。标准基于“厉行节约，反对浪费”的背景提出，为餐饮行业实施供应链管理提供指导和建议，对引导企业树立供应链的协同管理理念，促进产业组织方式创新，推动社会资本节约意义重大。</w:t>
      </w:r>
      <w:r>
        <w:rPr>
          <w:rFonts w:hint="eastAsia" w:ascii="等线" w:hAnsi="等线" w:cs="仿宋_GB2312"/>
          <w:szCs w:val="28"/>
          <w:lang w:bidi="ar"/>
        </w:rPr>
        <w:t>目前，蓝海集团、凯瑞集团、德保膳食、绝味食品等餐饮行业知名企业都运用信息化管理平台实践该项标准，切实通过供应链的集约化、高效化和节约化运行提升管理绩效，促进行业整体的提质增效与资源协同管理。</w:t>
      </w:r>
      <w:bookmarkStart w:id="125" w:name="_Toc66785322"/>
      <w:bookmarkStart w:id="126" w:name="_Toc8986"/>
      <w:bookmarkStart w:id="127" w:name="_Toc66724739"/>
      <w:bookmarkStart w:id="128" w:name="_Toc74580160"/>
      <w:bookmarkStart w:id="129" w:name="_Toc30427"/>
      <w:bookmarkStart w:id="130" w:name="_Toc74579995"/>
    </w:p>
    <w:p>
      <w:pPr>
        <w:spacing w:line="594" w:lineRule="exact"/>
        <w:ind w:firstLine="546" w:firstLineChars="200"/>
        <w:jc w:val="both"/>
        <w:outlineLvl w:val="1"/>
        <w:rPr>
          <w:rFonts w:ascii="楷体_GB2312" w:hAnsi="楷体_GB2312" w:eastAsia="楷体_GB2312" w:cs="楷体_GB2312"/>
          <w:b/>
          <w:szCs w:val="28"/>
        </w:rPr>
      </w:pPr>
      <w:r>
        <w:rPr>
          <w:rFonts w:hint="eastAsia" w:ascii="楷体_GB2312" w:hAnsi="楷体_GB2312" w:eastAsia="楷体_GB2312" w:cs="楷体_GB2312"/>
          <w:b/>
          <w:szCs w:val="28"/>
        </w:rPr>
        <w:t>（三）易地扶贫搬迁基本公共服务标准助力</w:t>
      </w:r>
      <w:bookmarkEnd w:id="125"/>
      <w:bookmarkEnd w:id="126"/>
      <w:bookmarkEnd w:id="127"/>
      <w:r>
        <w:rPr>
          <w:rFonts w:hint="eastAsia" w:ascii="楷体_GB2312" w:hAnsi="楷体_GB2312" w:eastAsia="楷体_GB2312" w:cs="楷体_GB2312"/>
          <w:b/>
          <w:szCs w:val="28"/>
        </w:rPr>
        <w:t>精准扶贫</w:t>
      </w:r>
      <w:bookmarkEnd w:id="128"/>
      <w:bookmarkEnd w:id="129"/>
      <w:bookmarkEnd w:id="130"/>
    </w:p>
    <w:p>
      <w:pPr>
        <w:spacing w:line="594" w:lineRule="exact"/>
        <w:ind w:firstLine="546" w:firstLineChars="200"/>
        <w:jc w:val="both"/>
        <w:rPr>
          <w:rFonts w:hAnsi="宋体"/>
          <w:szCs w:val="28"/>
        </w:rPr>
      </w:pPr>
      <w:r>
        <w:rPr>
          <w:rFonts w:hint="eastAsia" w:hAnsi="宋体"/>
          <w:szCs w:val="28"/>
        </w:rPr>
        <w:t>贵州省是全国搬迁规模最大、扶贫任务最重的省份。四年多来，贵州省搬迁总规模192万人，整体搬迁自然村寨1万余个，842个安置点45万多套住房遍布全省，易地扶贫搬迁工作已进入建立和完善搬迁群众可持续发展体制机制，切实解决好“搬出来后怎么办”问题的关键期。</w:t>
      </w:r>
    </w:p>
    <w:p>
      <w:pPr>
        <w:spacing w:line="594" w:lineRule="exact"/>
        <w:ind w:firstLine="546" w:firstLineChars="200"/>
        <w:jc w:val="both"/>
        <w:rPr>
          <w:rFonts w:hAnsi="宋体"/>
          <w:szCs w:val="28"/>
        </w:rPr>
      </w:pPr>
      <w:r>
        <w:rPr>
          <w:rFonts w:hint="eastAsia" w:hAnsi="宋体"/>
          <w:szCs w:val="28"/>
        </w:rPr>
        <w:t>2020年10月21日，贵州省市场监管局联合贵州省生态移民局联合发布了《贵州省易地扶贫搬迁基本公共服务标准体系》，体系</w:t>
      </w:r>
      <w:r>
        <w:rPr>
          <w:rFonts w:hint="eastAsia"/>
          <w:szCs w:val="28"/>
        </w:rPr>
        <w:t>主要包括</w:t>
      </w:r>
      <w:r>
        <w:rPr>
          <w:rFonts w:hint="eastAsia" w:hAnsi="宋体"/>
          <w:szCs w:val="28"/>
        </w:rPr>
        <w:t>精准扶贫、搬迁政策、权益保障、环境资源、安全应急、信息平台、产业培育、公共服务、培训就业、文化娱乐、社区治理、基层党建和持续改进等方面的标准。首批急需的《易地扶贫搬迁安置社区服务中心服务规范》等9个地方标准，于2020年12月22日正式发布。</w:t>
      </w:r>
    </w:p>
    <w:p>
      <w:pPr>
        <w:spacing w:line="594" w:lineRule="exact"/>
        <w:ind w:firstLine="546" w:firstLineChars="200"/>
        <w:jc w:val="both"/>
        <w:rPr>
          <w:rFonts w:ascii="楷体_GB2312" w:hAnsi="楷体_GB2312" w:eastAsia="楷体_GB2312" w:cs="楷体_GB2312"/>
          <w:szCs w:val="28"/>
        </w:rPr>
      </w:pPr>
      <w:r>
        <w:rPr>
          <w:rFonts w:hint="eastAsia" w:hAnsi="宋体"/>
          <w:szCs w:val="28"/>
        </w:rPr>
        <w:t>结合“搬得出、稳得住、能脱贫”等指导原则，该标准体系已在黔西南州易地扶贫搬迁“新市民计划”基本公共服务标准化试点、奢香古镇易地搬迁安置基本公共服务标准化试点建设中积极推广使用，并取得良好示范效应。黔西南州“新市民计划”在“幼有所育、学有所教、劳有所得、病有所医、老有所养、住有所居、弱有所扶、文体服务保障”等多个方面积极进行规范性探索，共制定地方标准40余项，采纳引用各类标准500余项，形成具有特色的“新市民计划”基本公共服务标准体系，确保了易地扶贫搬迁基本公共服务覆盖搬迁对象、兜住底线、均等享有，实现新市民“搬得出、稳得住、快融入、能致富”。</w:t>
      </w:r>
    </w:p>
    <w:p>
      <w:pPr>
        <w:spacing w:line="594" w:lineRule="exact"/>
        <w:ind w:firstLine="546" w:firstLineChars="200"/>
        <w:jc w:val="both"/>
        <w:outlineLvl w:val="1"/>
        <w:rPr>
          <w:rFonts w:ascii="楷体_GB2312" w:hAnsi="楷体_GB2312" w:eastAsia="楷体_GB2312" w:cs="楷体_GB2312"/>
          <w:b/>
          <w:szCs w:val="28"/>
        </w:rPr>
      </w:pPr>
      <w:bookmarkStart w:id="131" w:name="_Toc66785339"/>
      <w:bookmarkStart w:id="132" w:name="_Toc74580162"/>
      <w:bookmarkStart w:id="133" w:name="_Toc74579997"/>
      <w:bookmarkStart w:id="134" w:name="_Toc788"/>
      <w:r>
        <w:rPr>
          <w:rFonts w:hint="eastAsia" w:ascii="楷体_GB2312" w:hAnsi="楷体_GB2312" w:eastAsia="楷体_GB2312" w:cs="楷体_GB2312"/>
          <w:b/>
          <w:szCs w:val="28"/>
        </w:rPr>
        <w:t>（四）个人信息安全国家标准支撑个人信息保护</w:t>
      </w:r>
      <w:bookmarkEnd w:id="131"/>
      <w:bookmarkEnd w:id="132"/>
      <w:bookmarkEnd w:id="133"/>
      <w:bookmarkEnd w:id="134"/>
    </w:p>
    <w:p>
      <w:pPr>
        <w:spacing w:line="594" w:lineRule="exact"/>
        <w:ind w:firstLine="546" w:firstLineChars="200"/>
        <w:jc w:val="both"/>
        <w:rPr>
          <w:rFonts w:ascii="Times New Roman"/>
          <w:szCs w:val="28"/>
        </w:rPr>
      </w:pPr>
      <w:r>
        <w:rPr>
          <w:rFonts w:ascii="Times New Roman"/>
          <w:szCs w:val="28"/>
        </w:rPr>
        <w:t>随着信息技术的快速发展和互联网应用的普及</w:t>
      </w:r>
      <w:r>
        <w:rPr>
          <w:rFonts w:hint="eastAsia" w:ascii="Times New Roman"/>
          <w:szCs w:val="28"/>
        </w:rPr>
        <w:t>，</w:t>
      </w:r>
      <w:r>
        <w:rPr>
          <w:rFonts w:ascii="Times New Roman"/>
          <w:szCs w:val="28"/>
        </w:rPr>
        <w:t>越来越多的组织大量收集、使用个人信息</w:t>
      </w:r>
      <w:r>
        <w:rPr>
          <w:rFonts w:hint="eastAsia" w:ascii="Times New Roman"/>
          <w:szCs w:val="28"/>
        </w:rPr>
        <w:t>，</w:t>
      </w:r>
      <w:r>
        <w:rPr>
          <w:rFonts w:ascii="Times New Roman"/>
          <w:szCs w:val="28"/>
        </w:rPr>
        <w:t>给人们生活带来便利的同时</w:t>
      </w:r>
      <w:r>
        <w:rPr>
          <w:rFonts w:hint="eastAsia" w:ascii="Times New Roman"/>
          <w:szCs w:val="28"/>
        </w:rPr>
        <w:t>，</w:t>
      </w:r>
      <w:r>
        <w:rPr>
          <w:rFonts w:ascii="Times New Roman"/>
          <w:szCs w:val="28"/>
        </w:rPr>
        <w:t>也</w:t>
      </w:r>
      <w:r>
        <w:rPr>
          <w:rFonts w:hint="eastAsia" w:ascii="Times New Roman"/>
          <w:szCs w:val="28"/>
        </w:rPr>
        <w:t>使</w:t>
      </w:r>
      <w:r>
        <w:rPr>
          <w:rFonts w:ascii="Times New Roman"/>
          <w:szCs w:val="28"/>
        </w:rPr>
        <w:t>个人信息安全面临严重威胁。</w:t>
      </w:r>
      <w:r>
        <w:rPr>
          <w:rFonts w:hint="eastAsia" w:ascii="Times New Roman"/>
          <w:szCs w:val="28"/>
        </w:rPr>
        <w:t>国家标准《信息安全技术 个人信息安全规范》</w:t>
      </w:r>
      <w:r>
        <w:rPr>
          <w:rFonts w:hint="eastAsia" w:hAnsi="仿宋_GB2312" w:cs="仿宋_GB2312"/>
          <w:szCs w:val="28"/>
        </w:rPr>
        <w:t>(GB/T 35273)</w:t>
      </w:r>
      <w:r>
        <w:rPr>
          <w:rFonts w:hint="eastAsia" w:ascii="Times New Roman"/>
          <w:szCs w:val="28"/>
        </w:rPr>
        <w:t>由全国信息安全标准化技术委员会</w:t>
      </w:r>
      <w:r>
        <w:rPr>
          <w:rFonts w:hint="eastAsia" w:hAnsi="仿宋_GB2312" w:cs="仿宋_GB2312"/>
          <w:szCs w:val="28"/>
        </w:rPr>
        <w:t>（SAC/TC 260）</w:t>
      </w:r>
      <w:r>
        <w:rPr>
          <w:rFonts w:hint="eastAsia" w:ascii="Times New Roman"/>
          <w:szCs w:val="28"/>
        </w:rPr>
        <w:t>组织制定，于</w:t>
      </w:r>
      <w:r>
        <w:rPr>
          <w:rFonts w:hint="eastAsia" w:hAnsi="仿宋_GB2312" w:cs="仿宋_GB2312"/>
          <w:szCs w:val="28"/>
        </w:rPr>
        <w:t>2017</w:t>
      </w:r>
      <w:r>
        <w:rPr>
          <w:rFonts w:hint="eastAsia" w:ascii="Times New Roman"/>
          <w:szCs w:val="28"/>
        </w:rPr>
        <w:t>年</w:t>
      </w:r>
      <w:r>
        <w:rPr>
          <w:rFonts w:hint="eastAsia" w:hAnsi="仿宋_GB2312" w:cs="仿宋_GB2312"/>
          <w:szCs w:val="28"/>
        </w:rPr>
        <w:t>12</w:t>
      </w:r>
      <w:r>
        <w:rPr>
          <w:rFonts w:hint="eastAsia" w:ascii="Times New Roman"/>
          <w:szCs w:val="28"/>
        </w:rPr>
        <w:t>月</w:t>
      </w:r>
      <w:r>
        <w:rPr>
          <w:rFonts w:hint="eastAsia" w:hAnsi="仿宋_GB2312" w:cs="仿宋_GB2312"/>
          <w:szCs w:val="28"/>
        </w:rPr>
        <w:t>29</w:t>
      </w:r>
      <w:r>
        <w:rPr>
          <w:rFonts w:hint="eastAsia" w:ascii="Times New Roman"/>
          <w:szCs w:val="28"/>
        </w:rPr>
        <w:t>日发布第一版，</w:t>
      </w:r>
      <w:r>
        <w:rPr>
          <w:rFonts w:hint="eastAsia" w:hAnsi="仿宋_GB2312" w:cs="仿宋_GB2312"/>
          <w:szCs w:val="28"/>
        </w:rPr>
        <w:t>2020</w:t>
      </w:r>
      <w:r>
        <w:rPr>
          <w:rFonts w:hint="eastAsia" w:ascii="Times New Roman"/>
          <w:szCs w:val="28"/>
        </w:rPr>
        <w:t>年</w:t>
      </w:r>
      <w:r>
        <w:rPr>
          <w:rFonts w:hint="eastAsia" w:hAnsi="仿宋_GB2312" w:cs="仿宋_GB2312"/>
          <w:szCs w:val="28"/>
        </w:rPr>
        <w:t>3</w:t>
      </w:r>
      <w:r>
        <w:rPr>
          <w:rFonts w:hint="eastAsia" w:ascii="Times New Roman"/>
          <w:szCs w:val="28"/>
        </w:rPr>
        <w:t>月</w:t>
      </w:r>
      <w:r>
        <w:rPr>
          <w:rFonts w:hint="eastAsia" w:hAnsi="仿宋_GB2312" w:cs="仿宋_GB2312"/>
          <w:szCs w:val="28"/>
        </w:rPr>
        <w:t>6</w:t>
      </w:r>
      <w:r>
        <w:rPr>
          <w:rFonts w:hint="eastAsia" w:ascii="Times New Roman"/>
          <w:szCs w:val="28"/>
        </w:rPr>
        <w:t>日发布第二版。</w:t>
      </w:r>
    </w:p>
    <w:p>
      <w:pPr>
        <w:spacing w:line="594" w:lineRule="exact"/>
        <w:ind w:firstLine="546" w:firstLineChars="200"/>
        <w:jc w:val="both"/>
        <w:rPr>
          <w:rFonts w:ascii="Times New Roman"/>
          <w:szCs w:val="28"/>
        </w:rPr>
      </w:pPr>
      <w:r>
        <w:rPr>
          <w:rFonts w:ascii="Times New Roman"/>
          <w:szCs w:val="28"/>
        </w:rPr>
        <w:t>标准</w:t>
      </w:r>
      <w:r>
        <w:rPr>
          <w:rFonts w:hint="eastAsia" w:ascii="Times New Roman"/>
          <w:szCs w:val="28"/>
        </w:rPr>
        <w:t>针对个人信息面临的安全问题，通过规范个人信息控制者在收集、存储、使用、共享、转让、公开披露、删除等信息处理环节中的相关行为，旨在遏制个人信息非法收集、滥用、泄漏等乱象，最大程度地保障个人的合法权益和社会公共利益。该</w:t>
      </w:r>
      <w:r>
        <w:rPr>
          <w:rFonts w:ascii="Times New Roman"/>
          <w:szCs w:val="28"/>
        </w:rPr>
        <w:t>标准</w:t>
      </w:r>
      <w:r>
        <w:rPr>
          <w:rFonts w:hint="eastAsia" w:ascii="Times New Roman"/>
          <w:szCs w:val="28"/>
        </w:rPr>
        <w:t>规定的个人信息处理活动的原则和安全要求，为</w:t>
      </w:r>
      <w:r>
        <w:rPr>
          <w:rFonts w:ascii="Times New Roman"/>
          <w:szCs w:val="28"/>
        </w:rPr>
        <w:t>各类组织的个人信息处理活动</w:t>
      </w:r>
      <w:r>
        <w:rPr>
          <w:rFonts w:hint="eastAsia" w:ascii="Times New Roman"/>
          <w:szCs w:val="28"/>
        </w:rPr>
        <w:t>，以及</w:t>
      </w:r>
      <w:r>
        <w:rPr>
          <w:rFonts w:ascii="Times New Roman"/>
          <w:szCs w:val="28"/>
        </w:rPr>
        <w:t>主管监管部门、第三方评估机构等组织对个人信息处理活动进行监督、管理和评估</w:t>
      </w:r>
      <w:r>
        <w:rPr>
          <w:rFonts w:hint="eastAsia" w:ascii="Times New Roman"/>
          <w:szCs w:val="28"/>
        </w:rPr>
        <w:t>提供了技术依据。</w:t>
      </w:r>
    </w:p>
    <w:p>
      <w:pPr>
        <w:adjustRightInd w:val="0"/>
        <w:spacing w:line="594" w:lineRule="exact"/>
        <w:ind w:firstLine="546" w:firstLineChars="200"/>
        <w:jc w:val="both"/>
        <w:rPr>
          <w:rFonts w:hint="eastAsia" w:ascii="Times New Roman"/>
          <w:szCs w:val="28"/>
        </w:rPr>
      </w:pPr>
      <w:r>
        <w:rPr>
          <w:rFonts w:ascii="Times New Roman"/>
          <w:szCs w:val="28"/>
        </w:rPr>
        <w:t>标准</w:t>
      </w:r>
      <w:r>
        <w:rPr>
          <w:rFonts w:hint="eastAsia" w:ascii="Times New Roman"/>
          <w:szCs w:val="28"/>
        </w:rPr>
        <w:t>已应用于部门开展应用软件（</w:t>
      </w:r>
      <w:r>
        <w:rPr>
          <w:rFonts w:hint="eastAsia" w:hAnsi="仿宋_GB2312" w:cs="仿宋_GB2312"/>
          <w:szCs w:val="28"/>
        </w:rPr>
        <w:t>App</w:t>
      </w:r>
      <w:r>
        <w:rPr>
          <w:rFonts w:hint="eastAsia" w:ascii="Times New Roman"/>
          <w:szCs w:val="28"/>
        </w:rPr>
        <w:t>）检测评估，</w:t>
      </w:r>
      <w:r>
        <w:rPr>
          <w:rFonts w:ascii="Times New Roman"/>
          <w:szCs w:val="28"/>
        </w:rPr>
        <w:t>政务、金融、医疗、通信、教育、公共服务等</w:t>
      </w:r>
      <w:r>
        <w:rPr>
          <w:rFonts w:hint="eastAsia" w:ascii="Times New Roman"/>
          <w:szCs w:val="28"/>
        </w:rPr>
        <w:t>领域的运营者进行</w:t>
      </w:r>
      <w:r>
        <w:rPr>
          <w:rFonts w:ascii="Times New Roman"/>
          <w:szCs w:val="28"/>
        </w:rPr>
        <w:t>个人信息</w:t>
      </w:r>
      <w:r>
        <w:rPr>
          <w:rFonts w:hint="eastAsia" w:ascii="Times New Roman"/>
          <w:szCs w:val="28"/>
        </w:rPr>
        <w:t>处理活动，取得了良好效果。</w:t>
      </w:r>
      <w:r>
        <w:rPr>
          <w:rFonts w:ascii="Times New Roman"/>
          <w:szCs w:val="28"/>
        </w:rPr>
        <w:t>在中央网信办、</w:t>
      </w:r>
      <w:r>
        <w:rPr>
          <w:rFonts w:hint="eastAsia" w:ascii="Times New Roman"/>
          <w:szCs w:val="28"/>
        </w:rPr>
        <w:t>工业和信息化</w:t>
      </w:r>
      <w:r>
        <w:rPr>
          <w:rFonts w:ascii="Times New Roman"/>
          <w:szCs w:val="28"/>
        </w:rPr>
        <w:t>部、公安部、市场监管总局</w:t>
      </w:r>
      <w:r>
        <w:rPr>
          <w:rFonts w:hint="eastAsia" w:ascii="Times New Roman"/>
          <w:szCs w:val="28"/>
        </w:rPr>
        <w:t>四部门</w:t>
      </w:r>
      <w:r>
        <w:rPr>
          <w:rFonts w:ascii="Times New Roman"/>
          <w:szCs w:val="28"/>
        </w:rPr>
        <w:t>开展的“</w:t>
      </w:r>
      <w:r>
        <w:rPr>
          <w:rFonts w:hint="eastAsia" w:hAnsi="仿宋_GB2312" w:cs="仿宋_GB2312"/>
          <w:szCs w:val="28"/>
        </w:rPr>
        <w:t>App</w:t>
      </w:r>
      <w:r>
        <w:rPr>
          <w:rFonts w:ascii="Times New Roman"/>
          <w:szCs w:val="28"/>
        </w:rPr>
        <w:t>违法违规收集使用个人信息专项治理工作”中，</w:t>
      </w:r>
      <w:r>
        <w:rPr>
          <w:rFonts w:hint="eastAsia" w:ascii="Times New Roman"/>
          <w:szCs w:val="28"/>
        </w:rPr>
        <w:t>该标准</w:t>
      </w:r>
      <w:r>
        <w:rPr>
          <w:rFonts w:ascii="Times New Roman"/>
          <w:szCs w:val="28"/>
        </w:rPr>
        <w:t>成为</w:t>
      </w:r>
      <w:r>
        <w:rPr>
          <w:rFonts w:hint="eastAsia" w:hAnsi="仿宋_GB2312" w:cs="仿宋_GB2312"/>
          <w:szCs w:val="28"/>
        </w:rPr>
        <w:t>App</w:t>
      </w:r>
      <w:r>
        <w:rPr>
          <w:rFonts w:ascii="Times New Roman"/>
          <w:szCs w:val="28"/>
        </w:rPr>
        <w:t>检测评估的重要参考。标准在支撑疫情防控过程中的个人信息保护方面也发挥了重要作用，</w:t>
      </w:r>
      <w:r>
        <w:rPr>
          <w:rFonts w:hint="eastAsia" w:hAnsi="仿宋_GB2312" w:cs="仿宋_GB2312"/>
          <w:szCs w:val="28"/>
        </w:rPr>
        <w:t>2020</w:t>
      </w:r>
      <w:r>
        <w:rPr>
          <w:rFonts w:ascii="Times New Roman"/>
          <w:szCs w:val="28"/>
        </w:rPr>
        <w:t>年</w:t>
      </w:r>
      <w:r>
        <w:rPr>
          <w:rFonts w:hint="eastAsia" w:hAnsi="仿宋_GB2312" w:cs="仿宋_GB2312"/>
          <w:szCs w:val="28"/>
        </w:rPr>
        <w:t>2</w:t>
      </w:r>
      <w:r>
        <w:rPr>
          <w:rFonts w:ascii="Times New Roman"/>
          <w:szCs w:val="28"/>
        </w:rPr>
        <w:t>月中央网信办发布的《关于做好个人信息保护利用大数据支撑联防联控工作的通知》中要求“收集联防联控所必需的个人信息应参照国家标准《个人信息安全规范》，坚持最小范围原则”。</w:t>
      </w:r>
      <w:r>
        <w:rPr>
          <w:rFonts w:hint="eastAsia" w:ascii="Times New Roman"/>
          <w:szCs w:val="28"/>
        </w:rPr>
        <w:t>个人信息保护咨询服务、检测评估服务等新型安全服务需求递增，标准提出的个人信息保护措施，推动了相关安全企业研发针对性的安全产品、提出解决方案。标准的实施显著降低了用户隐私泄露可能导致的诈骗、盗刷等风险。</w:t>
      </w:r>
      <w:bookmarkStart w:id="135" w:name="_Toc13919"/>
      <w:bookmarkStart w:id="136" w:name="_Toc66785320"/>
      <w:bookmarkStart w:id="137" w:name="_Toc28154"/>
      <w:bookmarkStart w:id="138" w:name="_Toc66724737"/>
      <w:bookmarkStart w:id="139" w:name="_Toc74580164"/>
      <w:bookmarkStart w:id="140" w:name="_Toc74579999"/>
    </w:p>
    <w:p>
      <w:pPr>
        <w:adjustRightInd w:val="0"/>
        <w:spacing w:line="594" w:lineRule="exact"/>
        <w:ind w:firstLine="546" w:firstLineChars="200"/>
        <w:jc w:val="both"/>
        <w:rPr>
          <w:rFonts w:hint="eastAsia" w:ascii="楷体_GB2312" w:hAnsi="楷体_GB2312" w:eastAsia="楷体_GB2312" w:cs="楷体_GB2312"/>
          <w:b/>
          <w:szCs w:val="28"/>
        </w:rPr>
      </w:pPr>
      <w:r>
        <w:rPr>
          <w:rFonts w:hint="eastAsia" w:ascii="楷体_GB2312" w:hAnsi="楷体_GB2312" w:eastAsia="楷体_GB2312" w:cs="楷体_GB2312"/>
          <w:b/>
          <w:szCs w:val="28"/>
        </w:rPr>
        <w:t>（五）一次性可降解餐饮具、塑料购物袋国家标准</w:t>
      </w:r>
      <w:bookmarkEnd w:id="135"/>
      <w:bookmarkStart w:id="141" w:name="_Toc27445"/>
      <w:bookmarkStart w:id="142" w:name="_Toc9677"/>
      <w:r>
        <w:rPr>
          <w:rFonts w:hint="eastAsia" w:ascii="楷体_GB2312" w:hAnsi="楷体_GB2312" w:eastAsia="楷体_GB2312" w:cs="楷体_GB2312"/>
          <w:b/>
          <w:szCs w:val="28"/>
        </w:rPr>
        <w:t>支撑塑料污染治理</w:t>
      </w:r>
      <w:bookmarkEnd w:id="136"/>
      <w:bookmarkEnd w:id="137"/>
      <w:bookmarkEnd w:id="138"/>
      <w:bookmarkEnd w:id="139"/>
      <w:bookmarkEnd w:id="140"/>
      <w:bookmarkEnd w:id="141"/>
      <w:bookmarkEnd w:id="142"/>
    </w:p>
    <w:p>
      <w:pPr>
        <w:adjustRightInd w:val="0"/>
        <w:spacing w:line="594" w:lineRule="exact"/>
        <w:ind w:firstLine="546" w:firstLineChars="200"/>
        <w:jc w:val="both"/>
        <w:rPr>
          <w:rFonts w:hint="eastAsia"/>
        </w:rPr>
      </w:pPr>
      <w:r>
        <w:rPr>
          <w:rFonts w:hint="eastAsia"/>
        </w:rPr>
        <w:t>塑料污染治理，事关绿色持续发展，事关美丽中国建设。近年来，餐饮外卖产业一次性塑料餐饮具消耗量迅速上升，流通环节销售、使用超薄塑料购物袋产生的“塑料垃圾”激增，影响</w:t>
      </w:r>
      <w:r>
        <w:rPr>
          <w:rFonts w:hint="eastAsia" w:hAnsi="仿宋_GB2312" w:cs="仿宋_GB2312"/>
        </w:rPr>
        <w:t>2007</w:t>
      </w:r>
      <w:r>
        <w:rPr>
          <w:rFonts w:hint="eastAsia"/>
        </w:rPr>
        <w:t>年施行的“限塑令”的有效落实。为全面贯彻落实党中央、国务院关于加强塑料污染治理的决策部署，市场监管总局</w:t>
      </w:r>
      <w:r>
        <w:rPr>
          <w:rFonts w:hint="eastAsia"/>
          <w:lang w:eastAsia="zh-CN"/>
        </w:rPr>
        <w:t>（标准委）</w:t>
      </w:r>
      <w:r>
        <w:rPr>
          <w:rFonts w:hint="eastAsia"/>
        </w:rPr>
        <w:t>加快推进塑料污染治理重点国家标准制修订工作，及时修订发布《一次性可降解餐饮具通用技术要求》</w:t>
      </w:r>
      <w:r>
        <w:rPr>
          <w:rFonts w:hint="eastAsia" w:hAnsi="仿宋_GB2312" w:cs="仿宋_GB2312"/>
        </w:rPr>
        <w:t>（GB/T 18006.3）、《</w:t>
      </w:r>
      <w:r>
        <w:rPr>
          <w:rFonts w:hint="eastAsia"/>
        </w:rPr>
        <w:t>塑料购物袋》</w:t>
      </w:r>
      <w:r>
        <w:rPr>
          <w:rFonts w:hint="eastAsia" w:hAnsi="仿宋_GB2312" w:cs="仿宋_GB2312"/>
        </w:rPr>
        <w:t>（GB/T 21661）两</w:t>
      </w:r>
      <w:r>
        <w:rPr>
          <w:rFonts w:hint="eastAsia"/>
        </w:rPr>
        <w:t>项推荐性国家标准。</w:t>
      </w:r>
    </w:p>
    <w:p>
      <w:pPr>
        <w:adjustRightInd w:val="0"/>
        <w:spacing w:line="594" w:lineRule="exact"/>
        <w:ind w:firstLine="546" w:firstLineChars="200"/>
        <w:jc w:val="both"/>
        <w:rPr>
          <w:rFonts w:hint="eastAsia"/>
        </w:rPr>
      </w:pPr>
      <w:r>
        <w:rPr>
          <w:rFonts w:hint="eastAsia"/>
        </w:rPr>
        <w:t>《一次性可降解餐饮具通用技术要求》规范了一次性可降解餐饮具的术语、分类、技术要求、检验方法、检验规则及产品包装标识、包装、运输、贮存要求，是生产、采购、监管一次性可降解餐饮具的明确依据。《塑料购物袋》的修订突出“增厚、增强、更安全、更环保”的特点，提高了产品厚度、强度要求，提升了产品的耐用性和废弃后的回收利用水平。同时，“食品用”“非食品用”标识更清晰，印刷原料要求更高，且不应有挂耳等多余的易弃部分。</w:t>
      </w:r>
    </w:p>
    <w:p>
      <w:pPr>
        <w:adjustRightInd w:val="0"/>
        <w:spacing w:line="594" w:lineRule="exact"/>
        <w:ind w:firstLine="546" w:firstLineChars="200"/>
        <w:jc w:val="both"/>
        <w:rPr>
          <w:rFonts w:hint="eastAsia"/>
        </w:rPr>
      </w:pPr>
      <w:r>
        <w:rPr>
          <w:rFonts w:hint="eastAsia"/>
        </w:rPr>
        <w:t>这两项国家标准的修订和实施，为依法依规禁止和限制生产、销售和使用超薄塑料袋，鼓励和引导减少使用一次性塑料餐饮具、推广可降解的替代产品，提供了有力的标准技术支撑。标准规定的产品和人民群众日常生活密切相关，标准加强了塑料购物袋、一次性可降解餐饮具在环保方面性能要求，引导人们少用、重复循环使用塑料购物袋和使用可降解餐饮具，从而增强了人们的环保理念，充分发挥了国家标准支撑塑料污染治理工作的积极作用，取得了良好的效果。</w:t>
      </w:r>
      <w:bookmarkStart w:id="143" w:name="_Toc2959"/>
      <w:bookmarkStart w:id="144" w:name="_Toc66724743"/>
      <w:bookmarkStart w:id="145" w:name="_Toc66785326"/>
      <w:bookmarkStart w:id="146" w:name="_Toc74580166"/>
      <w:bookmarkStart w:id="147" w:name="_Toc13345"/>
      <w:bookmarkStart w:id="148" w:name="_Toc74580001"/>
      <w:r>
        <w:rPr>
          <w:rFonts w:hint="eastAsia"/>
        </w:rPr>
        <w:t>目前</w:t>
      </w:r>
      <w:r>
        <w:t>，</w:t>
      </w:r>
      <w:r>
        <w:rPr>
          <w:rFonts w:hint="eastAsia"/>
        </w:rPr>
        <w:t>标准已应用于商超等零售场所、餐饮、外卖包装等领域。</w:t>
      </w:r>
    </w:p>
    <w:p>
      <w:pPr>
        <w:adjustRightInd w:val="0"/>
        <w:spacing w:line="594" w:lineRule="exact"/>
        <w:ind w:firstLine="546" w:firstLineChars="200"/>
        <w:jc w:val="both"/>
        <w:rPr>
          <w:rFonts w:hint="eastAsia" w:ascii="楷体_GB2312" w:hAnsi="楷体_GB2312" w:eastAsia="楷体_GB2312" w:cs="楷体_GB2312"/>
          <w:b/>
          <w:szCs w:val="28"/>
        </w:rPr>
      </w:pPr>
      <w:r>
        <w:rPr>
          <w:rFonts w:hint="eastAsia" w:ascii="楷体_GB2312" w:hAnsi="楷体_GB2312" w:eastAsia="楷体_GB2312" w:cs="楷体_GB2312"/>
          <w:b/>
          <w:szCs w:val="28"/>
        </w:rPr>
        <w:t>（六）统一潮流控制器系列标准引领电网高质量发展</w:t>
      </w:r>
      <w:bookmarkEnd w:id="143"/>
      <w:bookmarkEnd w:id="144"/>
      <w:bookmarkEnd w:id="145"/>
      <w:bookmarkEnd w:id="146"/>
      <w:bookmarkEnd w:id="147"/>
      <w:bookmarkEnd w:id="148"/>
    </w:p>
    <w:p>
      <w:pPr>
        <w:adjustRightInd w:val="0"/>
        <w:spacing w:line="594" w:lineRule="exact"/>
        <w:ind w:firstLine="546" w:firstLineChars="200"/>
        <w:jc w:val="both"/>
        <w:rPr>
          <w:rFonts w:hint="eastAsia" w:ascii="Times New Roman"/>
          <w:szCs w:val="28"/>
        </w:rPr>
      </w:pPr>
      <w:r>
        <w:rPr>
          <w:rFonts w:hint="eastAsia" w:ascii="Times New Roman"/>
          <w:szCs w:val="28"/>
        </w:rPr>
        <w:t>电力潮流是指电网中功率的分布和流向，其按线路阻抗自然分布，潮流“重”易诱发停电、潮流“轻”造成资源浪费。据统计，我国因潮流分布不均限制了约</w:t>
      </w:r>
      <w:r>
        <w:rPr>
          <w:rFonts w:hint="eastAsia" w:hAnsi="仿宋_GB2312" w:cs="仿宋_GB2312"/>
          <w:szCs w:val="28"/>
        </w:rPr>
        <w:t>10%—30%</w:t>
      </w:r>
      <w:r>
        <w:rPr>
          <w:rFonts w:hint="eastAsia" w:ascii="Times New Roman"/>
          <w:szCs w:val="28"/>
        </w:rPr>
        <w:t>供电能力，潮流控制已是我国电网高质量发展的迫切需求，同时也是电力领域的一项世界级难题。统一潮流控制器</w:t>
      </w:r>
      <w:r>
        <w:rPr>
          <w:rFonts w:hint="eastAsia" w:hAnsi="仿宋_GB2312" w:cs="仿宋_GB2312"/>
          <w:szCs w:val="28"/>
        </w:rPr>
        <w:t>（UPFC）</w:t>
      </w:r>
      <w:r>
        <w:rPr>
          <w:rFonts w:hint="eastAsia" w:ascii="Times New Roman"/>
          <w:szCs w:val="28"/>
        </w:rPr>
        <w:t>是功能最强大的潮流控制装备，可实现电网潮流精准、灵活控制。但是由于</w:t>
      </w:r>
      <w:r>
        <w:rPr>
          <w:rFonts w:hint="eastAsia" w:hAnsi="仿宋_GB2312" w:cs="仿宋_GB2312"/>
          <w:szCs w:val="28"/>
        </w:rPr>
        <w:t>UPFC</w:t>
      </w:r>
      <w:r>
        <w:rPr>
          <w:rFonts w:hint="eastAsia" w:ascii="Times New Roman"/>
          <w:szCs w:val="28"/>
        </w:rPr>
        <w:t>结构复杂、技术研发难度大、设备性能配合要求高，技术和市场长期被</w:t>
      </w:r>
      <w:r>
        <w:rPr>
          <w:rFonts w:hint="eastAsia" w:ascii="Times New Roman"/>
          <w:szCs w:val="28"/>
          <w:lang w:eastAsia="zh-CN"/>
        </w:rPr>
        <w:t>国外</w:t>
      </w:r>
      <w:r>
        <w:rPr>
          <w:rFonts w:hint="eastAsia" w:ascii="Times New Roman"/>
          <w:szCs w:val="28"/>
        </w:rPr>
        <w:t>企业垄断。</w:t>
      </w:r>
    </w:p>
    <w:p>
      <w:pPr>
        <w:adjustRightInd w:val="0"/>
        <w:spacing w:line="594" w:lineRule="exact"/>
        <w:ind w:firstLine="546" w:firstLineChars="200"/>
        <w:jc w:val="both"/>
        <w:rPr>
          <w:rFonts w:hint="eastAsia" w:ascii="Times New Roman"/>
          <w:szCs w:val="28"/>
        </w:rPr>
      </w:pPr>
      <w:r>
        <w:rPr>
          <w:rFonts w:hint="eastAsia" w:ascii="Times New Roman"/>
          <w:szCs w:val="28"/>
          <w:lang w:eastAsia="zh-CN"/>
        </w:rPr>
        <w:t>在</w:t>
      </w:r>
      <w:r>
        <w:rPr>
          <w:rFonts w:hint="eastAsia" w:ascii="Times New Roman"/>
          <w:szCs w:val="28"/>
        </w:rPr>
        <w:t>国家科研计划等项目支持下，国家电网有限公司项目团队历时</w:t>
      </w:r>
      <w:r>
        <w:rPr>
          <w:rFonts w:hint="eastAsia" w:hAnsi="仿宋_GB2312" w:cs="仿宋_GB2312"/>
          <w:szCs w:val="28"/>
        </w:rPr>
        <w:t>10</w:t>
      </w:r>
      <w:r>
        <w:rPr>
          <w:rFonts w:hint="eastAsia" w:ascii="Times New Roman"/>
          <w:szCs w:val="28"/>
        </w:rPr>
        <w:t>余年，攻克</w:t>
      </w:r>
      <w:r>
        <w:rPr>
          <w:rFonts w:hint="eastAsia" w:hAnsi="仿宋_GB2312" w:cs="仿宋_GB2312"/>
          <w:szCs w:val="28"/>
        </w:rPr>
        <w:t>UPFC</w:t>
      </w:r>
      <w:r>
        <w:rPr>
          <w:rFonts w:hint="eastAsia" w:ascii="Times New Roman"/>
          <w:szCs w:val="28"/>
        </w:rPr>
        <w:t>技术壁垒，国际首创模块化多电平的新一代</w:t>
      </w:r>
      <w:r>
        <w:rPr>
          <w:rFonts w:hint="eastAsia" w:hAnsi="仿宋_GB2312" w:cs="仿宋_GB2312"/>
          <w:szCs w:val="28"/>
        </w:rPr>
        <w:t>UPFC</w:t>
      </w:r>
      <w:r>
        <w:rPr>
          <w:rFonts w:hint="eastAsia" w:ascii="Times New Roman"/>
          <w:szCs w:val="28"/>
        </w:rPr>
        <w:t>技术，成功研制</w:t>
      </w:r>
      <w:r>
        <w:rPr>
          <w:rFonts w:hint="eastAsia" w:hAnsi="仿宋_GB2312" w:cs="仿宋_GB2312"/>
          <w:szCs w:val="28"/>
        </w:rPr>
        <w:t>UPFC</w:t>
      </w:r>
      <w:r>
        <w:rPr>
          <w:rFonts w:hint="eastAsia" w:ascii="Times New Roman"/>
          <w:szCs w:val="28"/>
        </w:rPr>
        <w:t>成套装备并实现工程应用。通过同步推进技术研发和标准研制，编制了《统一潮流控制器工程设计导则》</w:t>
      </w:r>
      <w:r>
        <w:rPr>
          <w:rFonts w:hint="eastAsia" w:hAnsi="仿宋_GB2312" w:cs="仿宋_GB2312"/>
          <w:szCs w:val="28"/>
        </w:rPr>
        <w:t>（Q/GDW 11547）</w:t>
      </w:r>
      <w:r>
        <w:rPr>
          <w:rFonts w:hint="eastAsia" w:ascii="Times New Roman"/>
          <w:szCs w:val="28"/>
        </w:rPr>
        <w:t>等10项企业标准（简称</w:t>
      </w:r>
      <w:r>
        <w:rPr>
          <w:rFonts w:hint="eastAsia" w:hAnsi="仿宋_GB2312" w:cs="仿宋_GB2312"/>
          <w:szCs w:val="28"/>
        </w:rPr>
        <w:t>UPFC</w:t>
      </w:r>
      <w:r>
        <w:rPr>
          <w:rFonts w:hint="eastAsia" w:ascii="Times New Roman"/>
          <w:szCs w:val="28"/>
        </w:rPr>
        <w:t>系列标准），覆盖规划、设计、生产、检验、调试、运维等环节，于</w:t>
      </w:r>
      <w:r>
        <w:rPr>
          <w:rFonts w:hint="eastAsia" w:hAnsi="仿宋_GB2312" w:cs="仿宋_GB2312"/>
          <w:szCs w:val="28"/>
        </w:rPr>
        <w:t>2017</w:t>
      </w:r>
      <w:r>
        <w:rPr>
          <w:rFonts w:ascii="Times New Roman"/>
          <w:szCs w:val="28"/>
        </w:rPr>
        <w:t>年</w:t>
      </w:r>
      <w:r>
        <w:rPr>
          <w:rFonts w:hint="eastAsia" w:hAnsi="仿宋_GB2312" w:cs="仿宋_GB2312"/>
          <w:szCs w:val="28"/>
        </w:rPr>
        <w:t>2</w:t>
      </w:r>
      <w:r>
        <w:rPr>
          <w:rFonts w:hint="eastAsia" w:ascii="Times New Roman"/>
          <w:szCs w:val="28"/>
        </w:rPr>
        <w:t>月发布实施。该系列企业标准基于我国自主创新的先进技术，打破了</w:t>
      </w:r>
      <w:r>
        <w:rPr>
          <w:rFonts w:hint="eastAsia" w:ascii="Times New Roman"/>
          <w:szCs w:val="28"/>
          <w:lang w:eastAsia="zh-CN"/>
        </w:rPr>
        <w:t>国外技术</w:t>
      </w:r>
      <w:r>
        <w:rPr>
          <w:rFonts w:hint="eastAsia" w:ascii="Times New Roman"/>
          <w:szCs w:val="28"/>
        </w:rPr>
        <w:t>垄断，并实现了技术超越，在引领电网“高效、绿色、活力”高质量发展，推动我国电力装备产业结构升级做出重要贡献，荣获</w:t>
      </w:r>
      <w:r>
        <w:rPr>
          <w:rFonts w:hint="eastAsia" w:hAnsi="仿宋_GB2312" w:cs="仿宋_GB2312"/>
          <w:szCs w:val="28"/>
        </w:rPr>
        <w:t>2020</w:t>
      </w:r>
      <w:r>
        <w:rPr>
          <w:rFonts w:hint="eastAsia" w:ascii="Times New Roman"/>
          <w:szCs w:val="28"/>
        </w:rPr>
        <w:t>年中国标准创新贡献奖一等奖。</w:t>
      </w:r>
    </w:p>
    <w:p>
      <w:pPr>
        <w:adjustRightInd w:val="0"/>
        <w:spacing w:line="594" w:lineRule="exact"/>
        <w:ind w:firstLine="546" w:firstLineChars="200"/>
        <w:jc w:val="both"/>
      </w:pPr>
      <w:r>
        <w:rPr>
          <w:rFonts w:hint="eastAsia" w:hAnsi="仿宋_GB2312" w:cs="仿宋_GB2312"/>
          <w:szCs w:val="28"/>
        </w:rPr>
        <w:t>UPFC</w:t>
      </w:r>
      <w:r>
        <w:rPr>
          <w:rFonts w:hint="eastAsia" w:ascii="Times New Roman"/>
          <w:szCs w:val="28"/>
        </w:rPr>
        <w:t>系列标准</w:t>
      </w:r>
      <w:r>
        <w:rPr>
          <w:rFonts w:hint="eastAsia"/>
        </w:rPr>
        <w:t>的实施</w:t>
      </w:r>
      <w:r>
        <w:rPr>
          <w:rFonts w:hint="eastAsia"/>
          <w:bCs/>
        </w:rPr>
        <w:t>将电网运行水平提升至新高度，</w:t>
      </w:r>
      <w:r>
        <w:rPr>
          <w:rFonts w:hint="eastAsia" w:ascii="Times New Roman"/>
          <w:szCs w:val="28"/>
        </w:rPr>
        <w:t>已应用于我国所有</w:t>
      </w:r>
      <w:r>
        <w:rPr>
          <w:rFonts w:hint="eastAsia" w:hAnsi="仿宋_GB2312" w:cs="仿宋_GB2312"/>
          <w:szCs w:val="28"/>
        </w:rPr>
        <w:t>UPFC</w:t>
      </w:r>
      <w:r>
        <w:rPr>
          <w:rFonts w:hint="eastAsia" w:ascii="Times New Roman"/>
          <w:szCs w:val="28"/>
        </w:rPr>
        <w:t>工程；核心技术应用覆盖全国</w:t>
      </w:r>
      <w:r>
        <w:rPr>
          <w:rFonts w:hint="eastAsia" w:hAnsi="仿宋_GB2312" w:cs="仿宋_GB2312"/>
          <w:szCs w:val="28"/>
        </w:rPr>
        <w:t>25</w:t>
      </w:r>
      <w:r>
        <w:rPr>
          <w:rFonts w:hint="eastAsia" w:ascii="Times New Roman"/>
          <w:szCs w:val="28"/>
        </w:rPr>
        <w:t>省，并出口至北美、东南亚等地；美国纽约电力公司已准备引进我国技术改造</w:t>
      </w:r>
      <w:r>
        <w:rPr>
          <w:rFonts w:hint="eastAsia" w:hAnsi="仿宋_GB2312" w:cs="仿宋_GB2312"/>
          <w:szCs w:val="28"/>
        </w:rPr>
        <w:t>Marcy站UPFC</w:t>
      </w:r>
      <w:r>
        <w:rPr>
          <w:rFonts w:hint="eastAsia" w:ascii="Times New Roman"/>
          <w:szCs w:val="28"/>
        </w:rPr>
        <w:t>。同时，</w:t>
      </w:r>
      <w:r>
        <w:rPr>
          <w:rFonts w:hint="eastAsia"/>
          <w:bCs/>
        </w:rPr>
        <w:t>在柔性输电技术及电力电子技术应用领域</w:t>
      </w:r>
      <w:r>
        <w:rPr>
          <w:rFonts w:hint="eastAsia"/>
          <w:bCs/>
          <w:lang w:eastAsia="zh-CN"/>
        </w:rPr>
        <w:t>国际标准制定方面作出中国贡献</w:t>
      </w:r>
      <w:r>
        <w:rPr>
          <w:rFonts w:hint="eastAsia"/>
          <w:bCs/>
        </w:rPr>
        <w:t>。通过</w:t>
      </w:r>
      <w:r>
        <w:rPr>
          <w:rFonts w:hint="eastAsia"/>
        </w:rPr>
        <w:t>率先建立具有自主知识产权、技术先进的中国新一代</w:t>
      </w:r>
      <w:r>
        <w:rPr>
          <w:rFonts w:hint="eastAsia" w:hAnsi="仿宋_GB2312" w:cs="仿宋_GB2312"/>
          <w:szCs w:val="28"/>
        </w:rPr>
        <w:t>UPFC</w:t>
      </w:r>
      <w:r>
        <w:rPr>
          <w:rFonts w:hint="eastAsia"/>
        </w:rPr>
        <w:t>系列标准，并升级为电力行业系列标准和</w:t>
      </w:r>
      <w:r>
        <w:rPr>
          <w:rFonts w:hint="eastAsia" w:hAnsi="仿宋_GB2312" w:cs="仿宋_GB2312"/>
          <w:szCs w:val="28"/>
        </w:rPr>
        <w:t>IEC、电气与电子工程师协会（IEEE）</w:t>
      </w:r>
      <w:r>
        <w:rPr>
          <w:rFonts w:hint="eastAsia"/>
        </w:rPr>
        <w:t>标准，助力我国先进</w:t>
      </w:r>
      <w:r>
        <w:rPr>
          <w:rFonts w:hint="eastAsia" w:hAnsi="仿宋_GB2312" w:cs="仿宋_GB2312"/>
          <w:szCs w:val="28"/>
        </w:rPr>
        <w:t>UPFC</w:t>
      </w:r>
      <w:r>
        <w:rPr>
          <w:rFonts w:hint="eastAsia"/>
        </w:rPr>
        <w:t>技术、标准和装备</w:t>
      </w:r>
      <w:r>
        <w:rPr>
          <w:rFonts w:hint="eastAsia"/>
          <w:lang w:eastAsia="zh-CN"/>
        </w:rPr>
        <w:t>等海外应用</w:t>
      </w:r>
      <w:r>
        <w:rPr>
          <w:rFonts w:hint="eastAsia"/>
        </w:rPr>
        <w:t>。</w:t>
      </w:r>
      <w:bookmarkStart w:id="149" w:name="_Toc17551"/>
      <w:bookmarkStart w:id="150" w:name="_Toc66724747"/>
      <w:bookmarkStart w:id="151" w:name="_Toc74580168"/>
      <w:bookmarkStart w:id="152" w:name="_Toc4652"/>
      <w:bookmarkStart w:id="153" w:name="_Toc66785330"/>
      <w:bookmarkStart w:id="154" w:name="_Toc74580003"/>
      <w:bookmarkStart w:id="155" w:name="_Toc10789"/>
      <w:bookmarkStart w:id="156" w:name="_Toc66724707"/>
      <w:bookmarkStart w:id="157" w:name="_Toc66724748"/>
      <w:bookmarkStart w:id="158" w:name="_Toc66785331"/>
    </w:p>
    <w:p>
      <w:pPr>
        <w:spacing w:line="594" w:lineRule="exact"/>
        <w:ind w:firstLine="546" w:firstLineChars="200"/>
        <w:jc w:val="both"/>
        <w:outlineLvl w:val="1"/>
      </w:pPr>
      <w:r>
        <w:rPr>
          <w:rFonts w:hint="eastAsia" w:ascii="楷体_GB2312" w:hAnsi="楷体_GB2312" w:eastAsia="楷体_GB2312" w:cs="楷体_GB2312"/>
          <w:b/>
          <w:szCs w:val="28"/>
        </w:rPr>
        <w:t>（七）标准验证有效支撑光伏领域国际标准制定</w:t>
      </w:r>
      <w:bookmarkEnd w:id="149"/>
      <w:bookmarkEnd w:id="150"/>
      <w:bookmarkEnd w:id="151"/>
      <w:bookmarkEnd w:id="152"/>
      <w:bookmarkEnd w:id="153"/>
      <w:bookmarkEnd w:id="154"/>
    </w:p>
    <w:p>
      <w:pPr>
        <w:adjustRightInd w:val="0"/>
        <w:snapToGrid w:val="0"/>
        <w:spacing w:line="594" w:lineRule="exact"/>
        <w:ind w:firstLine="546" w:firstLineChars="200"/>
        <w:jc w:val="both"/>
        <w:rPr>
          <w:rFonts w:hAnsi="黑体"/>
          <w:szCs w:val="28"/>
        </w:rPr>
      </w:pPr>
      <w:r>
        <w:rPr>
          <w:rFonts w:hint="eastAsia" w:hAnsi="黑体"/>
          <w:szCs w:val="28"/>
        </w:rPr>
        <w:t>光伏是国家战略性新兴产业之一，中国生产的光伏电池和组件占全球市场的</w:t>
      </w:r>
      <w:r>
        <w:rPr>
          <w:rFonts w:hAnsi="黑体"/>
          <w:szCs w:val="28"/>
        </w:rPr>
        <w:t>70%以上，产品出口近200个国家或地区</w:t>
      </w:r>
      <w:r>
        <w:rPr>
          <w:rFonts w:hint="eastAsia" w:hAnsi="黑体"/>
          <w:szCs w:val="28"/>
        </w:rPr>
        <w:t>。我国每年</w:t>
      </w:r>
      <w:r>
        <w:rPr>
          <w:rFonts w:hAnsi="黑体"/>
          <w:szCs w:val="28"/>
        </w:rPr>
        <w:t>新增</w:t>
      </w:r>
      <w:r>
        <w:rPr>
          <w:rFonts w:hint="eastAsia" w:hAnsi="黑体"/>
          <w:szCs w:val="28"/>
        </w:rPr>
        <w:t>光伏</w:t>
      </w:r>
      <w:r>
        <w:rPr>
          <w:rFonts w:hAnsi="黑体"/>
          <w:szCs w:val="28"/>
        </w:rPr>
        <w:t>装机容量</w:t>
      </w:r>
      <w:r>
        <w:rPr>
          <w:rFonts w:hint="eastAsia" w:hAnsi="黑体"/>
          <w:szCs w:val="28"/>
        </w:rPr>
        <w:t>超过</w:t>
      </w:r>
      <w:r>
        <w:rPr>
          <w:rFonts w:hAnsi="黑体"/>
          <w:szCs w:val="28"/>
        </w:rPr>
        <w:t>40GW，累计装机容量</w:t>
      </w:r>
      <w:r>
        <w:rPr>
          <w:rFonts w:hint="eastAsia" w:hAnsi="黑体"/>
          <w:szCs w:val="28"/>
        </w:rPr>
        <w:t>超过</w:t>
      </w:r>
      <w:r>
        <w:rPr>
          <w:rFonts w:hAnsi="黑体"/>
          <w:szCs w:val="28"/>
        </w:rPr>
        <w:t>200GW，均为全球第一。然而，我国虽然是全球光伏生产和应用大国，但标准创制相对滞后，急需创制高质量光伏</w:t>
      </w:r>
      <w:r>
        <w:rPr>
          <w:rFonts w:hint="eastAsia" w:hAnsi="黑体"/>
          <w:szCs w:val="28"/>
        </w:rPr>
        <w:t>领域</w:t>
      </w:r>
      <w:r>
        <w:rPr>
          <w:rFonts w:hAnsi="黑体"/>
          <w:szCs w:val="28"/>
        </w:rPr>
        <w:t>标准</w:t>
      </w:r>
      <w:r>
        <w:rPr>
          <w:rFonts w:hint="eastAsia" w:hAnsi="黑体"/>
          <w:szCs w:val="28"/>
        </w:rPr>
        <w:t>、</w:t>
      </w:r>
      <w:r>
        <w:rPr>
          <w:rFonts w:hAnsi="黑体"/>
          <w:szCs w:val="28"/>
        </w:rPr>
        <w:t>引领光伏行业的健康发展。</w:t>
      </w:r>
    </w:p>
    <w:p>
      <w:pPr>
        <w:adjustRightInd w:val="0"/>
        <w:snapToGrid w:val="0"/>
        <w:spacing w:line="594" w:lineRule="exact"/>
        <w:ind w:firstLine="546" w:firstLineChars="200"/>
        <w:jc w:val="both"/>
        <w:rPr>
          <w:rFonts w:hAnsi="黑体"/>
          <w:szCs w:val="28"/>
        </w:rPr>
      </w:pPr>
      <w:r>
        <w:rPr>
          <w:rFonts w:hint="eastAsia" w:hAnsi="黑体"/>
          <w:szCs w:val="28"/>
        </w:rPr>
        <w:t>国家技术标准创新基地（光伏）抓住标准创制的核心要素，积极聚集行业资源，着力强弱项、补短板，依托光伏相关领域国家重点实验室，建设标准试验验证平台</w:t>
      </w:r>
      <w:r>
        <w:rPr>
          <w:rFonts w:hAnsi="黑体"/>
          <w:szCs w:val="28"/>
        </w:rPr>
        <w:t>,</w:t>
      </w:r>
      <w:r>
        <w:rPr>
          <w:rFonts w:hint="eastAsia" w:hAnsi="黑体"/>
          <w:szCs w:val="28"/>
        </w:rPr>
        <w:t>拥有</w:t>
      </w:r>
      <w:r>
        <w:rPr>
          <w:rFonts w:hAnsi="黑体"/>
          <w:szCs w:val="28"/>
        </w:rPr>
        <w:t>通用</w:t>
      </w:r>
      <w:r>
        <w:rPr>
          <w:rFonts w:hint="eastAsia" w:hAnsi="黑体"/>
          <w:szCs w:val="28"/>
        </w:rPr>
        <w:t>测试设备</w:t>
      </w:r>
      <w:r>
        <w:rPr>
          <w:rFonts w:hAnsi="黑体"/>
          <w:szCs w:val="28"/>
        </w:rPr>
        <w:t>117台（套），高端检测专用、多用设备</w:t>
      </w:r>
      <w:r>
        <w:rPr>
          <w:rFonts w:hint="eastAsia" w:hAnsi="黑体"/>
          <w:szCs w:val="28"/>
        </w:rPr>
        <w:t>等</w:t>
      </w:r>
      <w:r>
        <w:rPr>
          <w:rFonts w:hAnsi="黑体"/>
          <w:szCs w:val="28"/>
        </w:rPr>
        <w:t>48台(套)，</w:t>
      </w:r>
      <w:r>
        <w:rPr>
          <w:rFonts w:hint="eastAsia" w:hAnsi="黑体"/>
          <w:szCs w:val="28"/>
        </w:rPr>
        <w:t>模拟组件户外紫外、高热、高低温、湿冻、风载及雪载等综合老化环境试验箱</w:t>
      </w:r>
      <w:r>
        <w:rPr>
          <w:rFonts w:hAnsi="黑体"/>
          <w:szCs w:val="28"/>
        </w:rPr>
        <w:t>17台，总设备价值7000余万元，能够对多晶硅、硅片、背板、EVA等光伏产业上游原材料产品，</w:t>
      </w:r>
      <w:r>
        <w:rPr>
          <w:rFonts w:hint="eastAsia" w:hAnsi="黑体"/>
          <w:szCs w:val="28"/>
        </w:rPr>
        <w:t>以及太阳电池、组件、光伏发电系统等中下游产品，开展材料性能、气候环境、机械环境、电气性能、防雹性能等方面的标准试验验证。平台运行遵循“共同投资、分散管理、集中开放、统一预约”的管理原则，实现了设备资源及成果的共创、共赢、共享。</w:t>
      </w:r>
    </w:p>
    <w:p>
      <w:pPr>
        <w:adjustRightInd w:val="0"/>
        <w:snapToGrid w:val="0"/>
        <w:spacing w:line="594" w:lineRule="exact"/>
        <w:ind w:firstLine="546" w:firstLineChars="200"/>
        <w:jc w:val="both"/>
        <w:rPr>
          <w:rFonts w:hAnsi="黑体"/>
          <w:szCs w:val="28"/>
        </w:rPr>
      </w:pPr>
      <w:r>
        <w:rPr>
          <w:rFonts w:hint="eastAsia" w:hAnsi="黑体"/>
          <w:szCs w:val="28"/>
        </w:rPr>
        <w:t>平台建成以来，已经完成标准验证试验</w:t>
      </w:r>
      <w:r>
        <w:rPr>
          <w:rFonts w:hAnsi="黑体"/>
          <w:szCs w:val="28"/>
        </w:rPr>
        <w:t>320余项，</w:t>
      </w:r>
      <w:r>
        <w:rPr>
          <w:rFonts w:hint="eastAsia" w:hAnsi="黑体"/>
          <w:szCs w:val="28"/>
        </w:rPr>
        <w:t>为</w:t>
      </w:r>
      <w:r>
        <w:rPr>
          <w:rFonts w:hAnsi="黑体"/>
          <w:szCs w:val="28"/>
        </w:rPr>
        <w:t>100余项光伏领域国际国内标准</w:t>
      </w:r>
      <w:r>
        <w:rPr>
          <w:rFonts w:hint="eastAsia" w:hAnsi="黑体"/>
          <w:szCs w:val="28"/>
        </w:rPr>
        <w:t>研制提供了有力的试验验证支撑。创新基地集合国内资源，在双面发电光伏组件国际标准研制过程中，经过反复讨论研究和实验验证，制定了双面光伏组件测试方案，提出双面</w:t>
      </w:r>
      <w:r>
        <w:rPr>
          <w:rFonts w:hint="eastAsia" w:hAnsi="仿宋_GB2312" w:cs="仿宋_GB2312"/>
          <w:szCs w:val="28"/>
        </w:rPr>
        <w:t>发电组件背面光辐照的标准条件，并给出双面发电光伏组件的测试流程与精确的发电增益的计算公式，该标准草案在I</w:t>
      </w:r>
      <w:r>
        <w:rPr>
          <w:rFonts w:hAnsi="仿宋_GB2312" w:cs="仿宋_GB2312"/>
          <w:szCs w:val="28"/>
        </w:rPr>
        <w:t>EC</w:t>
      </w:r>
      <w:r>
        <w:rPr>
          <w:rFonts w:hint="eastAsia" w:hAnsi="仿宋_GB2312" w:cs="仿宋_GB2312"/>
          <w:szCs w:val="28"/>
        </w:rPr>
        <w:t>太阳能光伏能源标准委员会</w:t>
      </w:r>
      <w:r>
        <w:rPr>
          <w:rFonts w:ascii="Arial" w:hAnsi="Arial" w:cs="Arial"/>
          <w:color w:val="191919"/>
          <w:shd w:val="clear" w:color="auto" w:fill="FFFFFF"/>
        </w:rPr>
        <w:t>非聚光组件</w:t>
      </w:r>
      <w:r>
        <w:rPr>
          <w:rFonts w:hint="eastAsia" w:hAnsi="仿宋_GB2312" w:cs="仿宋_GB2312"/>
          <w:szCs w:val="28"/>
        </w:rPr>
        <w:t>组（</w:t>
      </w:r>
      <w:r>
        <w:rPr>
          <w:rFonts w:hAnsi="仿宋_GB2312" w:cs="仿宋_GB2312"/>
          <w:szCs w:val="28"/>
        </w:rPr>
        <w:t>IEC/TC 82/WG 2</w:t>
      </w:r>
      <w:r>
        <w:rPr>
          <w:rFonts w:hint="eastAsia" w:hAnsi="仿宋_GB2312" w:cs="仿宋_GB2312"/>
          <w:szCs w:val="28"/>
        </w:rPr>
        <w:t>）</w:t>
      </w:r>
      <w:r>
        <w:rPr>
          <w:rFonts w:hAnsi="仿宋_GB2312" w:cs="仿宋_GB2312"/>
          <w:szCs w:val="28"/>
        </w:rPr>
        <w:t>工作组的会议提出后，由于</w:t>
      </w:r>
      <w:r>
        <w:rPr>
          <w:rFonts w:hint="eastAsia" w:hAnsi="黑体"/>
          <w:szCs w:val="28"/>
        </w:rPr>
        <w:t>验证数据严谨翔实，得到了各国专家的支持，被</w:t>
      </w:r>
      <w:r>
        <w:rPr>
          <w:rFonts w:hAnsi="黑体"/>
          <w:szCs w:val="28"/>
        </w:rPr>
        <w:t>IEC TS 60904标准采纳</w:t>
      </w:r>
      <w:r>
        <w:rPr>
          <w:rFonts w:hint="eastAsia" w:hAnsi="黑体"/>
          <w:szCs w:val="28"/>
        </w:rPr>
        <w:t>。</w:t>
      </w:r>
    </w:p>
    <w:p>
      <w:pPr>
        <w:spacing w:line="594" w:lineRule="exact"/>
        <w:ind w:firstLine="546" w:firstLineChars="200"/>
        <w:jc w:val="both"/>
      </w:pPr>
      <w:r>
        <w:rPr>
          <w:rFonts w:hAnsi="黑体"/>
          <w:szCs w:val="28"/>
        </w:rPr>
        <w:t>IEC TS 60904标准发布后，依据实验室的验证数据，标准创新基地</w:t>
      </w:r>
      <w:r>
        <w:rPr>
          <w:rFonts w:hint="eastAsia" w:hAnsi="黑体"/>
          <w:szCs w:val="28"/>
        </w:rPr>
        <w:t>又进一步提出了《双面发电光伏组件电参数测试方法</w:t>
      </w:r>
      <w:r>
        <w:rPr>
          <w:rFonts w:hAnsi="黑体"/>
          <w:szCs w:val="28"/>
        </w:rPr>
        <w:t xml:space="preserve"> </w:t>
      </w:r>
      <w:r>
        <w:rPr>
          <w:rFonts w:hint="eastAsia" w:hAnsi="黑体"/>
          <w:szCs w:val="28"/>
        </w:rPr>
        <w:t>第</w:t>
      </w:r>
      <w:r>
        <w:rPr>
          <w:rFonts w:hAnsi="黑体"/>
          <w:szCs w:val="28"/>
        </w:rPr>
        <w:t>1</w:t>
      </w:r>
      <w:r>
        <w:rPr>
          <w:rFonts w:hint="eastAsia" w:hAnsi="黑体"/>
          <w:szCs w:val="28"/>
        </w:rPr>
        <w:t>部分：双面辐照法》和《双面发电光伏组件电参数测试方法</w:t>
      </w:r>
      <w:r>
        <w:rPr>
          <w:rFonts w:hAnsi="黑体"/>
          <w:szCs w:val="28"/>
        </w:rPr>
        <w:t xml:space="preserve"> </w:t>
      </w:r>
      <w:r>
        <w:rPr>
          <w:rFonts w:hint="eastAsia" w:hAnsi="黑体"/>
          <w:szCs w:val="28"/>
        </w:rPr>
        <w:t>第</w:t>
      </w:r>
      <w:r>
        <w:rPr>
          <w:rFonts w:hAnsi="黑体"/>
          <w:szCs w:val="28"/>
        </w:rPr>
        <w:t>2</w:t>
      </w:r>
      <w:r>
        <w:rPr>
          <w:rFonts w:hint="eastAsia" w:hAnsi="黑体"/>
          <w:szCs w:val="28"/>
        </w:rPr>
        <w:t>部分：公式法》两项团体标准，两项测试标准相辅相成，不仅满足第三方测试机构和实验室对光伏双面发电产品高精度的测试需求，也满足双面发电产品生产线低成本的测试需求，填补了我国双面发电光伏标准的空白。</w:t>
      </w:r>
      <w:bookmarkEnd w:id="155"/>
      <w:bookmarkEnd w:id="156"/>
      <w:bookmarkEnd w:id="157"/>
      <w:bookmarkEnd w:id="158"/>
    </w:p>
    <w:p>
      <w:pPr>
        <w:spacing w:line="594" w:lineRule="exact"/>
        <w:ind w:firstLine="546" w:firstLineChars="200"/>
        <w:jc w:val="both"/>
        <w:outlineLvl w:val="1"/>
        <w:rPr>
          <w:rFonts w:ascii="楷体_GB2312" w:hAnsi="楷体_GB2312" w:eastAsia="楷体_GB2312" w:cs="楷体_GB2312"/>
          <w:b/>
          <w:szCs w:val="28"/>
          <w:lang w:val="zh-CN"/>
        </w:rPr>
      </w:pPr>
      <w:bookmarkStart w:id="159" w:name="_Toc74580170"/>
      <w:bookmarkStart w:id="160" w:name="_Toc66724749"/>
      <w:bookmarkStart w:id="161" w:name="_Toc66785332"/>
      <w:bookmarkStart w:id="162" w:name="_Toc74580005"/>
      <w:bookmarkStart w:id="163" w:name="_Toc25441"/>
      <w:bookmarkStart w:id="164" w:name="_Toc19587"/>
      <w:r>
        <w:rPr>
          <w:rFonts w:hint="eastAsia" w:ascii="楷体_GB2312" w:hAnsi="楷体_GB2312" w:eastAsia="楷体_GB2312" w:cs="楷体_GB2312"/>
          <w:b/>
          <w:szCs w:val="28"/>
          <w:lang w:val="zh-CN"/>
        </w:rPr>
        <w:t>（八）</w:t>
      </w:r>
      <w:r>
        <w:rPr>
          <w:rFonts w:hint="eastAsia" w:ascii="楷体_GB2312" w:eastAsia="楷体_GB2312" w:cs="楷体_GB2312"/>
          <w:b/>
          <w:bCs/>
          <w:szCs w:val="28"/>
        </w:rPr>
        <w:t>“标准进市场”</w:t>
      </w:r>
      <w:r>
        <w:rPr>
          <w:rFonts w:hint="eastAsia" w:ascii="楷体_GB2312" w:hAnsi="楷体_GB2312" w:eastAsia="楷体_GB2312" w:cs="楷体_GB2312"/>
          <w:b/>
          <w:szCs w:val="28"/>
          <w:lang w:val="zh-CN"/>
        </w:rPr>
        <w:t>推动小商品质量提升</w:t>
      </w:r>
      <w:bookmarkEnd w:id="159"/>
      <w:bookmarkEnd w:id="160"/>
      <w:bookmarkEnd w:id="161"/>
      <w:bookmarkEnd w:id="162"/>
      <w:bookmarkEnd w:id="163"/>
      <w:bookmarkEnd w:id="164"/>
    </w:p>
    <w:p>
      <w:pPr>
        <w:spacing w:line="594" w:lineRule="exact"/>
        <w:ind w:firstLine="546" w:firstLineChars="200"/>
        <w:jc w:val="both"/>
        <w:rPr>
          <w:rFonts w:hAnsi="仿宋_GB2312" w:cs="仿宋_GB2312"/>
          <w:szCs w:val="28"/>
        </w:rPr>
      </w:pPr>
      <w:r>
        <w:rPr>
          <w:rFonts w:hint="eastAsia" w:hAnsi="仿宋_GB2312" w:cs="仿宋_GB2312"/>
          <w:szCs w:val="28"/>
        </w:rPr>
        <w:t>义乌是全球最大的小商品集散中心之一，汇集有26个大类、180多万种商品，商品出口到210多个国家和地区。为应对国内外环境变化给市场带来的冲击，2020年，义乌以“稳外贸拓内销”为目标，全面开展“标准进市场”工作，创新标准实施与应用，促进市场繁荣与发展。</w:t>
      </w:r>
    </w:p>
    <w:p>
      <w:pPr>
        <w:spacing w:line="594" w:lineRule="exact"/>
        <w:ind w:firstLine="546" w:firstLineChars="200"/>
        <w:jc w:val="both"/>
        <w:rPr>
          <w:rFonts w:hAnsi="仿宋_GB2312" w:cs="仿宋_GB2312"/>
          <w:szCs w:val="28"/>
        </w:rPr>
      </w:pPr>
      <w:r>
        <w:rPr>
          <w:rFonts w:hint="eastAsia" w:hAnsi="仿宋_GB2312" w:cs="仿宋_GB2312"/>
          <w:szCs w:val="28"/>
        </w:rPr>
        <w:t>“标准进市场”包括“亮标、对标、提标、宣标”四大行动。一是“亮标”，开发专门的亮标APP，组织市场经营户以二维码等方式在商位上公示在销商品的执行标准或主要技术指标，2020年入驻商户达3.7万户；二是“对标”，建立小商品国内外标准比对数据资源库，截至2020年底，标准、技术法规等入库数据达200多万条，委托专业技术机构，将亮标内容与国内外相关产品标准（特别是主要出口国和地区的标准）进行比对，发布重点行业标准白皮书5期。三是“提标”，行业协会和企业2020年度共制定符合市场需求的团体标准、企业标准1942项，提高了国内外标准的一致性程度。四是“宣标”，在市场重要通道设立标准大道，全面展示标准化相关知识，2020年组织专场培训24期，超5000人次参加培训。</w:t>
      </w:r>
    </w:p>
    <w:p>
      <w:pPr>
        <w:spacing w:line="594" w:lineRule="exact"/>
        <w:ind w:firstLine="546" w:firstLineChars="200"/>
        <w:jc w:val="both"/>
        <w:rPr>
          <w:rFonts w:hAnsi="仿宋_GB2312" w:cs="仿宋_GB2312"/>
          <w:szCs w:val="28"/>
        </w:rPr>
      </w:pPr>
      <w:r>
        <w:rPr>
          <w:rFonts w:hint="eastAsia" w:hAnsi="仿宋_GB2312" w:cs="仿宋_GB2312"/>
          <w:szCs w:val="28"/>
        </w:rPr>
        <w:t>“标准进市场”促进“稳外贸拓内销”成效显著，义乌市场贸易额2020年较上一年度增长超5%。一是精确</w:t>
      </w:r>
      <w:r>
        <w:rPr>
          <w:rFonts w:hint="eastAsia" w:hAnsi="仿宋_GB2312" w:cs="仿宋_GB2312"/>
          <w:szCs w:val="28"/>
          <w:lang w:eastAsia="zh-CN"/>
        </w:rPr>
        <w:t>指导</w:t>
      </w:r>
      <w:r>
        <w:rPr>
          <w:rFonts w:hint="eastAsia" w:hAnsi="仿宋_GB2312" w:cs="仿宋_GB2312"/>
          <w:szCs w:val="28"/>
        </w:rPr>
        <w:t>、提高交易效率。依托</w:t>
      </w:r>
      <w:r>
        <w:rPr>
          <w:rFonts w:hint="eastAsia" w:hAnsi="仿宋_GB2312" w:cs="仿宋_GB2312"/>
          <w:szCs w:val="28"/>
          <w:lang w:eastAsia="zh-CN"/>
        </w:rPr>
        <w:t>义</w:t>
      </w:r>
      <w:r>
        <w:rPr>
          <w:rFonts w:hint="eastAsia" w:hAnsi="仿宋_GB2312" w:cs="仿宋_GB2312"/>
          <w:szCs w:val="28"/>
        </w:rPr>
        <w:t>乌国际商贸城(chinagoods.com)、拨浪鼓等平台查询“亮标”信息，实现采购商与经营户精准对接，采购效率大幅提升。二是内外协同、减少贸易纠纷。联合其他国家在义乌市中国小商品城商会开展“一带一路”小商品团体标准研制，推动国内、国外市场规则和标准对接，目前已经发布《大容量中性墨水圆珠笔》《长袍》中英文版团体标准，该标准在苏丹、也门、埃及等国多个协会、团体广泛应用。三是练好内功、提升产品质量。2020年,共推动市场行业协会制定《毛绒玩具》《水晶泥》等15项团体标准，其中1项入选工业和信息化部2020年“百项团体标准应用示范项目”，5项上升为浙江制造团体标准，小商品产品质量和标准水平明显提升。</w:t>
      </w:r>
    </w:p>
    <w:p>
      <w:pPr>
        <w:spacing w:line="594" w:lineRule="exact"/>
        <w:ind w:firstLine="546" w:firstLineChars="200"/>
        <w:jc w:val="both"/>
        <w:outlineLvl w:val="1"/>
        <w:rPr>
          <w:rFonts w:ascii="楷体_GB2312" w:hAnsi="楷体_GB2312" w:eastAsia="楷体_GB2312" w:cs="楷体_GB2312"/>
          <w:szCs w:val="28"/>
        </w:rPr>
      </w:pPr>
      <w:bookmarkStart w:id="165" w:name="_Toc74580172"/>
      <w:bookmarkStart w:id="166" w:name="_Toc29118"/>
      <w:bookmarkStart w:id="167" w:name="_Toc7356"/>
      <w:bookmarkStart w:id="168" w:name="_Toc74580007"/>
      <w:bookmarkStart w:id="169" w:name="_Toc66116916"/>
      <w:r>
        <w:rPr>
          <w:rFonts w:hint="eastAsia" w:ascii="楷体_GB2312" w:hAnsi="楷体_GB2312" w:eastAsia="楷体_GB2312" w:cs="楷体_GB2312"/>
          <w:b/>
          <w:szCs w:val="28"/>
        </w:rPr>
        <w:t>（九）</w:t>
      </w:r>
      <w:bookmarkEnd w:id="165"/>
      <w:bookmarkEnd w:id="166"/>
      <w:bookmarkEnd w:id="167"/>
      <w:bookmarkEnd w:id="168"/>
      <w:r>
        <w:rPr>
          <w:rFonts w:hint="eastAsia" w:ascii="楷体_GB2312" w:hAnsi="楷体_GB2312" w:eastAsia="楷体_GB2312" w:cs="楷体_GB2312"/>
          <w:b/>
          <w:szCs w:val="28"/>
        </w:rPr>
        <w:t>标准化助推困难群体救助体系建设</w:t>
      </w:r>
    </w:p>
    <w:bookmarkEnd w:id="169"/>
    <w:p>
      <w:pPr>
        <w:spacing w:line="594" w:lineRule="exact"/>
        <w:ind w:firstLine="546" w:firstLineChars="200"/>
        <w:jc w:val="both"/>
        <w:rPr>
          <w:rFonts w:hint="eastAsia" w:hAnsi="仿宋_GB2312" w:cs="仿宋_GB2312"/>
          <w:color w:val="000000"/>
          <w:szCs w:val="28"/>
        </w:rPr>
      </w:pPr>
      <w:r>
        <w:rPr>
          <w:rFonts w:hint="eastAsia" w:hAnsi="仿宋_GB2312" w:cs="仿宋_GB2312"/>
          <w:color w:val="000000"/>
          <w:szCs w:val="28"/>
        </w:rPr>
        <w:t>2020年11月民政部办公厅印发《关于开展社会救助改革创新试点工作的通知》（民办函〔2020〕114号）文件，将成都市锦江区作为服务类社会救助试点。锦江区以此为契机，结合国家基本公共服务标准化试点项目建设，充分发挥标准化在社会救助方面的技术支撑作用，以标准化推动外来困难群体临时救助体系建设，为全国推进社会救助改革创新，提供锦江好经验、好做法。</w:t>
      </w:r>
    </w:p>
    <w:p>
      <w:pPr>
        <w:spacing w:line="594" w:lineRule="exact"/>
        <w:ind w:firstLine="546" w:firstLineChars="200"/>
        <w:jc w:val="both"/>
        <w:rPr>
          <w:rFonts w:hint="eastAsia" w:hAnsi="仿宋_GB2312" w:cs="仿宋_GB2312"/>
          <w:color w:val="000000"/>
          <w:szCs w:val="28"/>
        </w:rPr>
      </w:pPr>
      <w:r>
        <w:rPr>
          <w:rFonts w:hint="eastAsia" w:hAnsi="仿宋_GB2312" w:cs="仿宋_GB2312"/>
          <w:color w:val="000000"/>
          <w:szCs w:val="28"/>
        </w:rPr>
        <w:t>一是坚持标准化理念，建立外来困难群体主动发现救助机制。制定下发《关于做好锦江区外来弱势群体临时救助的实施意见》和《成都市锦江区外来弱势群体临时救助工作规程》，依据标准化流程体系，民政局联动人社、城管、公安、社会力量，主动发现流浪乞讨人员、露宿街头人员、临时生活困难外来灵活从业人员，及时提供“物质+服务”救助。二是强化标准引领，创新外来困难群体临时救助方式。以标准化工作方法为基础，精准识别外来困难群体类型及需求，提供标准化、专业化的住宿援助、生活援助、现金援助、返乡援助、医疗援助和关爱帮扶。三是坚持“标准化+”智能化，打造信息化救助平台。在流程标准化的基础上以信息化为手段，开发建设临时救助智能信息化平台，实现外来困难群体需求与政府救助、社会力量救助、慈善救助、专业社工、志愿者救助于一体。将救助申请统一入口、经济状况统一核对、救助对象统一认定、救助资源统筹使用、救助事项协同办理、救助信息统一归集。有效落实救助标准要求，让外来困难群体自主地、有尊严地获得救助。</w:t>
      </w:r>
    </w:p>
    <w:p>
      <w:pPr>
        <w:spacing w:line="594" w:lineRule="exact"/>
        <w:ind w:firstLine="546" w:firstLineChars="200"/>
        <w:jc w:val="both"/>
        <w:rPr>
          <w:rFonts w:hAnsi="仿宋_GB2312" w:cs="仿宋_GB2312"/>
          <w:szCs w:val="28"/>
        </w:rPr>
      </w:pPr>
      <w:r>
        <w:rPr>
          <w:rFonts w:hint="eastAsia" w:hAnsi="仿宋_GB2312" w:cs="仿宋_GB2312"/>
          <w:color w:val="000000"/>
          <w:szCs w:val="28"/>
        </w:rPr>
        <w:t>通过试点工作的开展，2021年1—3月，锦江区累计出动17872人次参加巡查，共发现146名街面流浪露宿人员，送成都市救助站9人次，送临时居住点26人次，提供返乡服务7人次、医疗服务1人次、物资救助41人次、寻亲服务7人次，送市福利院纳入户籍集中供养1人。锦江区社会救助工作将以全国社会救助改革创新试点、全国民政领域基本公共服务标准化试点及四川省社会救助综合改革试点建设为契机，健全完善具有锦江特色的社会救助关爱体系，为全国社会救助工作提供可借鉴、可复制、可推广的“锦江经验”。</w:t>
      </w:r>
    </w:p>
    <w:p>
      <w:pPr>
        <w:spacing w:line="594" w:lineRule="exact"/>
        <w:ind w:firstLine="546" w:firstLineChars="200"/>
        <w:jc w:val="both"/>
        <w:outlineLvl w:val="1"/>
        <w:rPr>
          <w:rFonts w:ascii="楷体_GB2312" w:hAnsi="楷体_GB2312" w:eastAsia="楷体_GB2312" w:cs="楷体_GB2312"/>
          <w:b/>
          <w:szCs w:val="28"/>
        </w:rPr>
      </w:pPr>
      <w:bookmarkStart w:id="170" w:name="_Toc14052"/>
      <w:bookmarkStart w:id="171" w:name="_Toc74580009"/>
      <w:bookmarkStart w:id="172" w:name="_Toc66724745"/>
      <w:bookmarkStart w:id="173" w:name="_Toc74580174"/>
      <w:bookmarkStart w:id="174" w:name="_Toc66785328"/>
      <w:bookmarkStart w:id="175" w:name="_Toc22298"/>
      <w:r>
        <w:rPr>
          <w:rFonts w:hint="eastAsia" w:ascii="楷体_GB2312" w:hAnsi="楷体_GB2312" w:eastAsia="楷体_GB2312" w:cs="楷体_GB2312"/>
          <w:b/>
          <w:szCs w:val="28"/>
        </w:rPr>
        <w:t>（十）银行产品服务规范国际标准促进</w:t>
      </w:r>
      <w:bookmarkEnd w:id="170"/>
      <w:bookmarkStart w:id="176" w:name="_Toc22602"/>
      <w:bookmarkStart w:id="177" w:name="_Toc1471"/>
      <w:r>
        <w:rPr>
          <w:rFonts w:hint="eastAsia" w:ascii="楷体_GB2312" w:hAnsi="楷体_GB2312" w:eastAsia="楷体_GB2312" w:cs="楷体_GB2312"/>
          <w:b/>
          <w:szCs w:val="28"/>
        </w:rPr>
        <w:t>开放、公平、公正和非歧视的金融环境</w:t>
      </w:r>
      <w:bookmarkEnd w:id="171"/>
      <w:bookmarkEnd w:id="172"/>
      <w:bookmarkEnd w:id="173"/>
      <w:bookmarkEnd w:id="174"/>
      <w:bookmarkEnd w:id="175"/>
      <w:bookmarkEnd w:id="176"/>
      <w:bookmarkEnd w:id="177"/>
    </w:p>
    <w:p>
      <w:pPr>
        <w:widowControl/>
        <w:spacing w:line="594" w:lineRule="exact"/>
        <w:ind w:firstLine="546" w:firstLineChars="200"/>
        <w:jc w:val="both"/>
        <w:rPr>
          <w:rFonts w:ascii="Times New Roman"/>
          <w:szCs w:val="28"/>
        </w:rPr>
      </w:pPr>
      <w:r>
        <w:rPr>
          <w:rFonts w:hint="eastAsia" w:hAnsi="仿宋_GB2312" w:cs="仿宋_GB2312"/>
          <w:szCs w:val="28"/>
        </w:rPr>
        <w:t>2020</w:t>
      </w:r>
      <w:r>
        <w:rPr>
          <w:rFonts w:hint="eastAsia" w:ascii="Times New Roman"/>
          <w:szCs w:val="28"/>
        </w:rPr>
        <w:t>年</w:t>
      </w:r>
      <w:r>
        <w:rPr>
          <w:rFonts w:hint="eastAsia" w:hAnsi="仿宋_GB2312" w:cs="仿宋_GB2312"/>
          <w:szCs w:val="28"/>
        </w:rPr>
        <w:t>9</w:t>
      </w:r>
      <w:r>
        <w:rPr>
          <w:rFonts w:hint="eastAsia" w:ascii="Times New Roman"/>
          <w:szCs w:val="28"/>
        </w:rPr>
        <w:t>月，</w:t>
      </w:r>
      <w:r>
        <w:rPr>
          <w:rFonts w:hint="eastAsia" w:hAnsi="仿宋_GB2312" w:cs="仿宋_GB2312"/>
          <w:szCs w:val="28"/>
        </w:rPr>
        <w:t>ISO</w:t>
      </w:r>
      <w:r>
        <w:rPr>
          <w:rFonts w:hint="eastAsia" w:ascii="Times New Roman"/>
          <w:szCs w:val="28"/>
        </w:rPr>
        <w:t>正式发布《金融服务参考数据 银行产品服务描述规范</w:t>
      </w:r>
      <w:r>
        <w:rPr>
          <w:rFonts w:hint="eastAsia" w:hAnsi="仿宋_GB2312" w:cs="仿宋_GB2312"/>
          <w:szCs w:val="28"/>
        </w:rPr>
        <w:t>（BPoS）》</w:t>
      </w:r>
      <w:r>
        <w:rPr>
          <w:rFonts w:hint="eastAsia" w:ascii="Times New Roman"/>
          <w:szCs w:val="28"/>
        </w:rPr>
        <w:t>（</w:t>
      </w:r>
      <w:r>
        <w:rPr>
          <w:rFonts w:hint="eastAsia" w:hAnsi="仿宋_GB2312" w:cs="仿宋_GB2312"/>
          <w:szCs w:val="28"/>
        </w:rPr>
        <w:t>ISO 21586</w:t>
      </w:r>
      <w:r>
        <w:rPr>
          <w:rFonts w:hint="eastAsia" w:ascii="Times New Roman"/>
          <w:szCs w:val="28"/>
        </w:rPr>
        <w:t>）。这是由中国专家召集制定的首个金融国际标准，是我国</w:t>
      </w:r>
      <w:r>
        <w:rPr>
          <w:rFonts w:hint="eastAsia" w:ascii="Times New Roman"/>
          <w:szCs w:val="28"/>
          <w:lang w:eastAsia="zh-CN"/>
        </w:rPr>
        <w:t>为</w:t>
      </w:r>
      <w:r>
        <w:rPr>
          <w:rFonts w:hint="eastAsia" w:ascii="Times New Roman"/>
          <w:szCs w:val="28"/>
        </w:rPr>
        <w:t>金融国际标准</w:t>
      </w:r>
      <w:r>
        <w:rPr>
          <w:rFonts w:hint="eastAsia" w:ascii="Times New Roman"/>
          <w:szCs w:val="28"/>
          <w:lang w:eastAsia="zh-CN"/>
        </w:rPr>
        <w:t>作出的新贡献</w:t>
      </w:r>
      <w:r>
        <w:rPr>
          <w:rFonts w:hint="eastAsia" w:ascii="Times New Roman"/>
          <w:szCs w:val="28"/>
        </w:rPr>
        <w:t>。该标准在</w:t>
      </w:r>
      <w:r>
        <w:rPr>
          <w:rFonts w:hint="eastAsia" w:hAnsi="仿宋_GB2312" w:cs="仿宋_GB2312"/>
          <w:szCs w:val="28"/>
        </w:rPr>
        <w:t>ISO金</w:t>
      </w:r>
      <w:r>
        <w:rPr>
          <w:rFonts w:hint="eastAsia" w:ascii="Times New Roman"/>
          <w:szCs w:val="28"/>
        </w:rPr>
        <w:t>融服务技术委员会（</w:t>
      </w:r>
      <w:r>
        <w:rPr>
          <w:rFonts w:hint="eastAsia" w:hAnsi="仿宋_GB2312" w:cs="仿宋_GB2312"/>
          <w:szCs w:val="28"/>
        </w:rPr>
        <w:t>ISO/TC 68</w:t>
      </w:r>
      <w:r>
        <w:rPr>
          <w:rFonts w:hint="eastAsia" w:ascii="Times New Roman"/>
          <w:szCs w:val="28"/>
        </w:rPr>
        <w:t>）框架下，以《银行业产品说明书描述规范》</w:t>
      </w:r>
      <w:r>
        <w:rPr>
          <w:rFonts w:hint="eastAsia" w:hAnsi="仿宋_GB2312" w:cs="仿宋_GB2312"/>
          <w:szCs w:val="28"/>
        </w:rPr>
        <w:t>(GB/T 32319)</w:t>
      </w:r>
      <w:r>
        <w:rPr>
          <w:rFonts w:hint="eastAsia" w:ascii="Times New Roman"/>
          <w:szCs w:val="28"/>
        </w:rPr>
        <w:t>国家标准为蓝本编制，从金融消费者的视角规范了银行在提供产品和服务时应该披露的信息</w:t>
      </w:r>
      <w:r>
        <w:rPr>
          <w:rFonts w:hint="eastAsia" w:ascii="Times New Roman"/>
          <w:szCs w:val="28"/>
          <w:lang w:eastAsia="zh-CN"/>
        </w:rPr>
        <w:t>内容</w:t>
      </w:r>
      <w:r>
        <w:rPr>
          <w:rFonts w:hint="eastAsia" w:ascii="Times New Roman"/>
          <w:szCs w:val="28"/>
        </w:rPr>
        <w:t>及形式，旨在建立银行产品服务信息管理的国际通用范式。标准工作组由我国专家担任标准工作组召集人、工作组秘书和主笔人，联合美国、英国、荷兰、瑞士、日本、德国、丹麦、印度等国专家共同制定。</w:t>
      </w:r>
    </w:p>
    <w:p>
      <w:pPr>
        <w:widowControl/>
        <w:spacing w:line="594" w:lineRule="exact"/>
        <w:ind w:firstLine="546" w:firstLineChars="200"/>
        <w:jc w:val="both"/>
        <w:rPr>
          <w:rFonts w:ascii="Times New Roman"/>
          <w:szCs w:val="28"/>
        </w:rPr>
      </w:pPr>
      <w:r>
        <w:rPr>
          <w:rFonts w:hint="eastAsia" w:ascii="Times New Roman"/>
          <w:szCs w:val="28"/>
        </w:rPr>
        <w:t>该国际标准的发布，对于改善全球金融市场产品和服务管理、构建透明高效的金融产品服务规则体系具有积极意义。一是实现规则衔接，促进国际间银行产品服务规则的互联互通，支持金融监管部门对银行产品服务的真实性和准确性进行审核，推动国际金融服务和金融监管数字化进程。二是改善信息对称，提升银行产品服务信息披露的一致性和规范性，支持银行使用消费者易懂的语言披露产品服务信息，助力构建更加开放、公平、公正和非歧视的金融投资与消费环境。三是促进创新驱动，该标准通过运用信息要素的分析和组合，进一步降低银行编制产品服务说明书的技术门槛和成本，提升产品服务创新效率，增强国际金融服务普适度。</w:t>
      </w:r>
    </w:p>
    <w:p>
      <w:pPr>
        <w:widowControl/>
        <w:spacing w:line="594" w:lineRule="exact"/>
        <w:ind w:firstLine="546" w:firstLineChars="200"/>
        <w:jc w:val="both"/>
        <w:rPr>
          <w:rFonts w:ascii="Times New Roman"/>
          <w:szCs w:val="28"/>
        </w:rPr>
      </w:pPr>
      <w:r>
        <w:rPr>
          <w:rFonts w:hint="eastAsia" w:ascii="Times New Roman"/>
          <w:szCs w:val="28"/>
        </w:rPr>
        <w:t>该国际标准的发布是我国优秀金融标准</w:t>
      </w:r>
      <w:r>
        <w:rPr>
          <w:rFonts w:hint="eastAsia" w:ascii="Times New Roman"/>
          <w:szCs w:val="28"/>
          <w:lang w:eastAsia="zh-CN"/>
        </w:rPr>
        <w:t>国际化</w:t>
      </w:r>
      <w:r>
        <w:rPr>
          <w:rFonts w:hint="eastAsia" w:ascii="Times New Roman"/>
          <w:szCs w:val="28"/>
        </w:rPr>
        <w:t>的成功典范，对我国金融标准国际化工作具有里程碑意义。该国际标准的核心内容与中国国家标准高度一致，我国优秀金融标准的内容受到国际标准组织和专家的认可，为国际金融标准建设贡献中国智慧。同时，该标准研制为我国金融标准国际化高质量发展奠定基础，让中国专家对金融国际标准的治理规则形成更加深刻的认识，积累了经验、锻炼了队伍、培养了人才，为全面融入国际金融标准治理奠定了基础。</w:t>
      </w:r>
    </w:p>
    <w:p>
      <w:pPr>
        <w:pStyle w:val="12"/>
        <w:spacing w:line="594" w:lineRule="exact"/>
      </w:pPr>
    </w:p>
    <w:p>
      <w:pPr>
        <w:spacing w:line="594" w:lineRule="exact"/>
        <w:ind w:firstLine="626" w:firstLineChars="200"/>
        <w:rPr>
          <w:rFonts w:hAnsi="仿宋_GB2312" w:cs="仿宋_GB2312"/>
          <w:sz w:val="32"/>
          <w:szCs w:val="32"/>
        </w:rPr>
      </w:pPr>
    </w:p>
    <w:p>
      <w:pPr>
        <w:spacing w:line="594" w:lineRule="exact"/>
        <w:ind w:firstLine="626" w:firstLineChars="200"/>
        <w:outlineLvl w:val="0"/>
        <w:rPr>
          <w:rFonts w:ascii="黑体" w:hAnsi="黑体" w:eastAsia="黑体" w:cs="黑体"/>
          <w:sz w:val="32"/>
          <w:szCs w:val="32"/>
        </w:rPr>
        <w:sectPr>
          <w:footerReference r:id="rId5" w:type="default"/>
          <w:pgSz w:w="11906" w:h="16838"/>
          <w:pgMar w:top="1985" w:right="1361" w:bottom="1361" w:left="1588" w:header="851" w:footer="1418" w:gutter="0"/>
          <w:cols w:space="720" w:num="1"/>
          <w:docGrid w:type="linesAndChars" w:linePitch="286" w:charSpace="-1638"/>
        </w:sectPr>
      </w:pPr>
    </w:p>
    <w:p>
      <w:pPr>
        <w:spacing w:line="594" w:lineRule="exact"/>
        <w:outlineLvl w:val="0"/>
        <w:rPr>
          <w:rFonts w:ascii="黑体" w:hAnsi="黑体" w:eastAsia="黑体" w:cs="黑体"/>
          <w:sz w:val="32"/>
          <w:szCs w:val="32"/>
        </w:rPr>
      </w:pPr>
      <w:bookmarkStart w:id="178" w:name="_Toc13632"/>
      <w:bookmarkStart w:id="179" w:name="_Toc74734658"/>
      <w:r>
        <w:rPr>
          <w:rFonts w:hint="eastAsia" w:ascii="黑体" w:hAnsi="黑体" w:eastAsia="黑体" w:cs="黑体"/>
          <w:sz w:val="32"/>
          <w:szCs w:val="32"/>
        </w:rPr>
        <w:t>附 录</w:t>
      </w:r>
      <w:bookmarkEnd w:id="178"/>
      <w:bookmarkEnd w:id="179"/>
    </w:p>
    <w:p>
      <w:pPr>
        <w:jc w:val="center"/>
        <w:rPr>
          <w:rFonts w:ascii="黑体" w:hAnsi="黑体" w:eastAsia="黑体" w:cs="黑体"/>
          <w:sz w:val="32"/>
          <w:szCs w:val="32"/>
        </w:rPr>
      </w:pPr>
      <w:bookmarkStart w:id="180" w:name="_Toc74734659"/>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2020年度中国标准化大事记</w:t>
      </w:r>
      <w:bookmarkEnd w:id="180"/>
    </w:p>
    <w:p>
      <w:pPr>
        <w:spacing w:line="594" w:lineRule="exact"/>
        <w:ind w:firstLine="546" w:firstLineChars="200"/>
        <w:jc w:val="both"/>
        <w:rPr>
          <w:rFonts w:ascii="Arial" w:hAnsi="Arial" w:cs="Arial"/>
          <w:szCs w:val="28"/>
        </w:rPr>
      </w:pPr>
      <w:r>
        <w:rPr>
          <w:rFonts w:hint="eastAsia"/>
          <w:szCs w:val="28"/>
        </w:rPr>
        <w:t>1月6日，市场监管总局发布《强制性国家标准管理办法》，</w:t>
      </w:r>
      <w:r>
        <w:rPr>
          <w:rFonts w:ascii="Arial" w:hAnsi="Arial" w:cs="Arial"/>
          <w:szCs w:val="28"/>
        </w:rPr>
        <w:t>加强强制性国家标准管理，规范强制性国家标准的制定、实施和监督。</w:t>
      </w:r>
    </w:p>
    <w:p>
      <w:pPr>
        <w:spacing w:line="594" w:lineRule="exact"/>
        <w:ind w:firstLine="546" w:firstLineChars="200"/>
        <w:jc w:val="both"/>
        <w:rPr>
          <w:rFonts w:hint="eastAsia" w:eastAsia="仿宋_GB2312"/>
          <w:lang w:eastAsia="zh-CN"/>
        </w:rPr>
      </w:pPr>
      <w:r>
        <w:rPr>
          <w:rFonts w:hint="eastAsia"/>
        </w:rPr>
        <w:t>1月13日，国务院新闻办举行政策吹风会，</w:t>
      </w:r>
      <w:r>
        <w:rPr>
          <w:rFonts w:hint="eastAsia"/>
          <w:lang w:eastAsia="zh-CN"/>
        </w:rPr>
        <w:t>市场监管总局（标准委）、民政部联合</w:t>
      </w:r>
      <w:r>
        <w:rPr>
          <w:rFonts w:hint="eastAsia"/>
        </w:rPr>
        <w:t>发布养老服务领域首个强制性国家标准《养老服务机构安全基本规范》。市场监管总局副局长、标准委主任田世宏</w:t>
      </w:r>
      <w:r>
        <w:rPr>
          <w:rFonts w:hint="eastAsia"/>
          <w:lang w:eastAsia="zh-CN"/>
        </w:rPr>
        <w:t>，</w:t>
      </w:r>
      <w:r>
        <w:rPr>
          <w:rFonts w:hint="eastAsia"/>
          <w:szCs w:val="28"/>
        </w:rPr>
        <w:t>民政部副部长高晓兵</w:t>
      </w:r>
      <w:r>
        <w:rPr>
          <w:rFonts w:hint="eastAsia"/>
        </w:rPr>
        <w:t>出席会议</w:t>
      </w:r>
      <w:r>
        <w:rPr>
          <w:rFonts w:hint="eastAsia"/>
          <w:lang w:eastAsia="zh-CN"/>
        </w:rPr>
        <w:t>。</w:t>
      </w:r>
    </w:p>
    <w:p>
      <w:pPr>
        <w:spacing w:line="594" w:lineRule="exact"/>
        <w:ind w:firstLine="546" w:firstLineChars="200"/>
        <w:jc w:val="both"/>
        <w:rPr>
          <w:szCs w:val="28"/>
        </w:rPr>
      </w:pPr>
      <w:r>
        <w:rPr>
          <w:rFonts w:hint="eastAsia"/>
          <w:szCs w:val="28"/>
        </w:rPr>
        <w:t>1月1</w:t>
      </w:r>
      <w:r>
        <w:rPr>
          <w:szCs w:val="28"/>
        </w:rPr>
        <w:t>6</w:t>
      </w:r>
      <w:r>
        <w:rPr>
          <w:rFonts w:hint="eastAsia"/>
          <w:szCs w:val="28"/>
        </w:rPr>
        <w:t>日，市场监管总局发布《地方标准管理办法》，对地方标准制定的领域、流程以及应遵循原则等方面进行了全面规定。</w:t>
      </w:r>
    </w:p>
    <w:p>
      <w:pPr>
        <w:spacing w:line="594" w:lineRule="exact"/>
        <w:ind w:firstLine="546" w:firstLineChars="200"/>
        <w:jc w:val="both"/>
        <w:rPr>
          <w:szCs w:val="28"/>
        </w:rPr>
      </w:pPr>
      <w:r>
        <w:rPr>
          <w:rFonts w:hint="eastAsia"/>
          <w:szCs w:val="28"/>
        </w:rPr>
        <w:t>1月19日，全国标准化工作会议在京召开。市场监管总局副局长、标准委主任田世宏出席会议并作工作报告，提出要强化顶层设计，提升标准化工作的战略定位；要深化标准化改革，提升标准化发展活力；要加强标准体系建设，提升引领高质量发展的能力；要参与国际标准治理，提升标准国际化水平；要加强科学管理，提升标准化治理效能。民政部副部长高晓兵、全国工商联副主席鲁勇、IEC主席舒印彪出席会议并讲话。</w:t>
      </w:r>
    </w:p>
    <w:p>
      <w:pPr>
        <w:spacing w:line="594" w:lineRule="exact"/>
        <w:ind w:firstLine="546" w:firstLineChars="200"/>
        <w:jc w:val="both"/>
        <w:rPr>
          <w:szCs w:val="28"/>
        </w:rPr>
      </w:pPr>
      <w:r>
        <w:rPr>
          <w:rFonts w:hint="eastAsia"/>
          <w:szCs w:val="28"/>
        </w:rPr>
        <w:t>2月1</w:t>
      </w:r>
      <w:r>
        <w:rPr>
          <w:szCs w:val="28"/>
        </w:rPr>
        <w:t>0</w:t>
      </w:r>
      <w:r>
        <w:rPr>
          <w:rFonts w:hint="eastAsia"/>
          <w:szCs w:val="28"/>
        </w:rPr>
        <w:t>日，ISO和IEC秘书长代表其全体成员，对中国政府和人民正在面临的新冠肺炎疫情这一困难局面表示关切，并对中国政府为抗击疫情所做的努力表示钦佩。ISO和IEC对我国打赢疫情防控阻击战、继续为全球经济及技术发展作出巨大贡献充满信心，并表示全力支持我国抗击新冠肺炎疫情。</w:t>
      </w:r>
    </w:p>
    <w:p>
      <w:pPr>
        <w:spacing w:line="594" w:lineRule="exact"/>
        <w:ind w:firstLine="546" w:firstLineChars="200"/>
        <w:jc w:val="both"/>
        <w:rPr>
          <w:shd w:val="clear" w:color="auto" w:fill="FFFFFF"/>
        </w:rPr>
      </w:pPr>
      <w:r>
        <w:rPr>
          <w:rFonts w:hint="eastAsia"/>
          <w:szCs w:val="28"/>
        </w:rPr>
        <w:t>2月15日，市场监管总局、药监局、知识产权局联合出台了《支持复工复产十条》,提出要加快国际标准与国内标准的转换，推动出口</w:t>
      </w:r>
      <w:r>
        <w:rPr>
          <w:rFonts w:hint="eastAsia"/>
          <w:shd w:val="clear" w:color="auto" w:fill="FFFFFF"/>
        </w:rPr>
        <w:t>产品依据标准和国内标准的衔接。</w:t>
      </w:r>
    </w:p>
    <w:p>
      <w:pPr>
        <w:spacing w:line="594" w:lineRule="exact"/>
        <w:ind w:firstLine="546" w:firstLineChars="200"/>
        <w:jc w:val="both"/>
        <w:rPr>
          <w:shd w:val="clear" w:color="auto" w:fill="FFFFFF"/>
        </w:rPr>
      </w:pPr>
      <w:r>
        <w:rPr>
          <w:rFonts w:hint="eastAsia"/>
          <w:shd w:val="clear" w:color="auto" w:fill="FFFFFF"/>
        </w:rPr>
        <w:t>3月3日，中共中央办公厅、国务院办公厅印发《关于构建现代环境治理体系的指导意见》，提出要健全法律法规标准，加快补齐环境治理体制机制短板。</w:t>
      </w:r>
    </w:p>
    <w:p>
      <w:pPr>
        <w:spacing w:line="594" w:lineRule="exact"/>
        <w:ind w:firstLine="546" w:firstLineChars="200"/>
        <w:jc w:val="both"/>
        <w:rPr>
          <w:szCs w:val="28"/>
        </w:rPr>
      </w:pPr>
      <w:r>
        <w:rPr>
          <w:rFonts w:hint="eastAsia"/>
          <w:shd w:val="clear" w:color="auto" w:fill="FFFFFF"/>
        </w:rPr>
        <w:t>3月5日，</w:t>
      </w:r>
      <w:r>
        <w:rPr>
          <w:rFonts w:hint="eastAsia"/>
        </w:rPr>
        <w:t>标准委、工业和信息化部、</w:t>
      </w:r>
      <w:r>
        <w:rPr>
          <w:rFonts w:hint="eastAsia"/>
          <w:shd w:val="clear" w:color="auto" w:fill="FFFFFF"/>
        </w:rPr>
        <w:t>科技部等五部门联合印发《增材制造标准领航行动计划（2020—2022年）》，提出到2022年，立足国情、对接国际的增材制造新型标准体系基本建立。</w:t>
      </w:r>
    </w:p>
    <w:p>
      <w:pPr>
        <w:spacing w:line="594" w:lineRule="exact"/>
        <w:ind w:firstLine="546" w:firstLineChars="200"/>
        <w:jc w:val="both"/>
        <w:rPr>
          <w:rFonts w:hint="eastAsia"/>
        </w:rPr>
      </w:pPr>
      <w:r>
        <w:t>3</w:t>
      </w:r>
      <w:r>
        <w:rPr>
          <w:rFonts w:hint="eastAsia"/>
        </w:rPr>
        <w:t>月5日，标准委印发《关于充分发挥全国专业标准化技术委员会作用助力疫情防控和复工复产的通知》，鼓励和号召标准化技术组织从做好社会关注标准解读、强化标准化技术服务、促进上下游产业标准信息交流、做好相关标准梳理分析、加快国际国外标准转化、提出国际标准提案6个方面，积极服务企业疫情防控和复工复产。</w:t>
      </w:r>
    </w:p>
    <w:p>
      <w:pPr>
        <w:spacing w:line="594" w:lineRule="exact"/>
        <w:ind w:firstLine="546" w:firstLineChars="200"/>
        <w:jc w:val="both"/>
        <w:rPr>
          <w:rFonts w:hint="eastAsia" w:hAnsi="Times New Roman" w:cs="Times New Roman"/>
        </w:rPr>
      </w:pPr>
      <w:r>
        <w:rPr>
          <w:rFonts w:hint="eastAsia" w:hAnsi="Times New Roman" w:cs="Times New Roman"/>
        </w:rPr>
        <w:t>3月18日，标准委批准成立全国化学纤维标准化技术委员会、全国模具标准化技术委员会压铸模分技术委员会、全国信息技术标准化技术委员会人工智能分技术委员会、全国内燃机标准化技术委员会内燃机可靠性分技术委员会、全国钢标准化技术委员会钢产品无损检测分技术委员会、全国机械安全标准化技术委员会安全防护装置分技术委员会。</w:t>
      </w:r>
    </w:p>
    <w:p>
      <w:pPr>
        <w:spacing w:line="594" w:lineRule="exact"/>
        <w:ind w:firstLine="546" w:firstLineChars="200"/>
        <w:jc w:val="both"/>
        <w:rPr>
          <w:szCs w:val="28"/>
        </w:rPr>
      </w:pPr>
      <w:r>
        <w:rPr>
          <w:rFonts w:hint="eastAsia"/>
          <w:szCs w:val="28"/>
        </w:rPr>
        <w:t>3月26日，标准委联合湖北省市场监管局举办“助力湖北企业复工复产标准化公益大讲堂”活动。来自湖北省及全国部分地区的企事业单位近3700人实时在线收看了网络直播公益讲座。</w:t>
      </w:r>
    </w:p>
    <w:p>
      <w:pPr>
        <w:spacing w:line="594" w:lineRule="exact"/>
        <w:ind w:firstLine="546" w:firstLineChars="200"/>
        <w:jc w:val="both"/>
        <w:rPr>
          <w:szCs w:val="28"/>
        </w:rPr>
      </w:pPr>
      <w:r>
        <w:rPr>
          <w:szCs w:val="28"/>
        </w:rPr>
        <w:t>4</w:t>
      </w:r>
      <w:r>
        <w:rPr>
          <w:rFonts w:hint="eastAsia"/>
          <w:szCs w:val="28"/>
        </w:rPr>
        <w:t>月</w:t>
      </w:r>
      <w:r>
        <w:rPr>
          <w:szCs w:val="28"/>
        </w:rPr>
        <w:t>3</w:t>
      </w:r>
      <w:r>
        <w:rPr>
          <w:rFonts w:hint="eastAsia"/>
          <w:szCs w:val="28"/>
        </w:rPr>
        <w:t>日，</w:t>
      </w:r>
      <w:r>
        <w:rPr>
          <w:szCs w:val="28"/>
        </w:rPr>
        <w:t>标准委快速批准发布《医用防护口罩技术要求》等13项疫情防护国家标准外文版，帮助我国防护用品企业复工复产，服务外贸出口，助力对外援助。</w:t>
      </w:r>
    </w:p>
    <w:p>
      <w:pPr>
        <w:spacing w:line="594" w:lineRule="exact"/>
        <w:ind w:firstLine="546" w:firstLineChars="200"/>
        <w:jc w:val="both"/>
        <w:rPr>
          <w:szCs w:val="28"/>
        </w:rPr>
      </w:pPr>
      <w:r>
        <w:rPr>
          <w:rFonts w:hint="eastAsia"/>
          <w:szCs w:val="28"/>
        </w:rPr>
        <w:t>4月1</w:t>
      </w:r>
      <w:r>
        <w:rPr>
          <w:szCs w:val="28"/>
        </w:rPr>
        <w:t>0</w:t>
      </w:r>
      <w:r>
        <w:rPr>
          <w:rFonts w:hint="eastAsia"/>
          <w:szCs w:val="28"/>
        </w:rPr>
        <w:t>日，</w:t>
      </w:r>
      <w:r>
        <w:rPr>
          <w:szCs w:val="28"/>
        </w:rPr>
        <w:t>标准委</w:t>
      </w:r>
      <w:r>
        <w:rPr>
          <w:rFonts w:hint="eastAsia"/>
          <w:szCs w:val="28"/>
        </w:rPr>
        <w:t>印发《关于进一步加强行业标准管理的指导意见》，提出明晰行业标准的范围、优化行业标准供给结构、加强行业标准制修订管理等九条指导意见。</w:t>
      </w:r>
    </w:p>
    <w:p>
      <w:pPr>
        <w:spacing w:line="594" w:lineRule="exact"/>
        <w:ind w:firstLine="546" w:firstLineChars="200"/>
        <w:jc w:val="both"/>
        <w:rPr>
          <w:szCs w:val="28"/>
        </w:rPr>
      </w:pPr>
      <w:r>
        <w:rPr>
          <w:rFonts w:hint="eastAsia"/>
          <w:szCs w:val="28"/>
        </w:rPr>
        <w:t>4月14日，市场监管总局发布关于修订《中国标准创新贡献奖管理办法》的公告，贯彻落实党中央关于标准化和评选表彰工作的最新决策部署，突出创新性、先进性、引领性，进一步提高公平性、公正性。</w:t>
      </w:r>
    </w:p>
    <w:p>
      <w:pPr>
        <w:spacing w:line="594" w:lineRule="exact"/>
        <w:ind w:firstLine="546" w:firstLineChars="200"/>
        <w:jc w:val="both"/>
        <w:rPr>
          <w:szCs w:val="28"/>
        </w:rPr>
      </w:pPr>
      <w:r>
        <w:rPr>
          <w:szCs w:val="28"/>
        </w:rPr>
        <w:t>4</w:t>
      </w:r>
      <w:r>
        <w:rPr>
          <w:rFonts w:hint="eastAsia"/>
          <w:szCs w:val="28"/>
        </w:rPr>
        <w:t>月2</w:t>
      </w:r>
      <w:r>
        <w:rPr>
          <w:szCs w:val="28"/>
        </w:rPr>
        <w:t>4</w:t>
      </w:r>
      <w:r>
        <w:rPr>
          <w:rFonts w:hint="eastAsia"/>
          <w:szCs w:val="28"/>
        </w:rPr>
        <w:t>日，在获得ISO、IEC授权同意后，市场监管总局组织在中国标准信息服务网上，免费公开了医用肺呼吸机、防护服、医疗器械生物学评价等33项疫情防控相关国际标准，为战胜疫情贡献标准力量。</w:t>
      </w:r>
    </w:p>
    <w:p>
      <w:pPr>
        <w:spacing w:line="594" w:lineRule="exact"/>
        <w:ind w:firstLine="546" w:firstLineChars="200"/>
        <w:jc w:val="both"/>
        <w:rPr>
          <w:szCs w:val="28"/>
        </w:rPr>
      </w:pPr>
      <w:r>
        <w:rPr>
          <w:rFonts w:hint="eastAsia"/>
          <w:szCs w:val="28"/>
        </w:rPr>
        <w:t>4月28日，市场监管总局发布《农村三格式户厕建设技术规范》《农村三格式户厕运行维护规范》和《农村集中下水道收集户厕建设技术规范》三项国家标准，标准聚焦当前我国农村改厕工作中的薄弱环节，引领农村户厕建设改造和粪污治理，使农村户厕改造和维护有标可依，及时为农村“厕所革命”提供标准技术支撑。</w:t>
      </w:r>
    </w:p>
    <w:p>
      <w:pPr>
        <w:spacing w:line="594" w:lineRule="exact"/>
        <w:ind w:firstLine="546" w:firstLineChars="200"/>
        <w:jc w:val="both"/>
      </w:pPr>
      <w:r>
        <w:t>4月29日，市场监管总局发布《个人健康信息码》系列国家标准。该系列标准采用了国家标准快速程序，从立项到发布仅用了14天时间。</w:t>
      </w:r>
    </w:p>
    <w:p>
      <w:pPr>
        <w:spacing w:line="594" w:lineRule="exact"/>
        <w:ind w:firstLine="546" w:firstLineChars="200"/>
        <w:jc w:val="both"/>
        <w:rPr>
          <w:b/>
          <w:bCs/>
        </w:rPr>
      </w:pPr>
      <w:r>
        <w:t>5月7日，标准委和浙江省人民政府以视频连线形式召开2020年标准化工作省部联席会议，总结2019年标准化工作省部合作情况，部署2020年工作，并通报浙江省国家标准化综合改革试点中期评估结果。</w:t>
      </w:r>
    </w:p>
    <w:p>
      <w:pPr>
        <w:spacing w:line="594" w:lineRule="exact"/>
        <w:ind w:firstLine="546" w:firstLineChars="200"/>
        <w:jc w:val="both"/>
        <w:rPr>
          <w:rFonts w:hint="eastAsia"/>
        </w:rPr>
      </w:pPr>
      <w:r>
        <w:rPr>
          <w:rFonts w:hint="eastAsia"/>
        </w:rPr>
        <w:t>5月9日，</w:t>
      </w:r>
      <w:r>
        <w:t>由中国标准化专家、ISO前主席张晓刚发起的“国际标准化青年专家奖”正式在ISO批准成立。</w:t>
      </w:r>
      <w:r>
        <w:rPr>
          <w:rFonts w:hint="eastAsia"/>
        </w:rPr>
        <w:t>这是ISO成立74年以来，第一次授权由专家个人发起，面向全球范围的标准奖项。</w:t>
      </w:r>
    </w:p>
    <w:p>
      <w:pPr>
        <w:ind w:firstLine="546" w:firstLineChars="200"/>
        <w:jc w:val="both"/>
        <w:rPr>
          <w:rFonts w:hint="eastAsia" w:hAnsi="Times New Roman" w:cs="Times New Roman"/>
          <w:kern w:val="2"/>
          <w:sz w:val="28"/>
          <w:szCs w:val="21"/>
          <w:lang w:eastAsia="zh-CN"/>
        </w:rPr>
      </w:pPr>
      <w:r>
        <w:rPr>
          <w:rFonts w:hint="default" w:ascii="仿宋_GB2312" w:hAnsi="Times New Roman" w:eastAsia="仿宋_GB2312" w:cs="Times New Roman"/>
          <w:color w:val="auto"/>
          <w:sz w:val="28"/>
          <w:szCs w:val="21"/>
          <w:lang w:val="en-US" w:eastAsia="zh-CN"/>
        </w:rPr>
        <w:t>5月26日</w:t>
      </w:r>
      <w:r>
        <w:rPr>
          <w:rFonts w:hint="default" w:ascii="仿宋_GB2312" w:hAnsi="Times New Roman" w:cs="Times New Roman"/>
          <w:color w:val="auto"/>
          <w:sz w:val="28"/>
          <w:szCs w:val="21"/>
          <w:lang w:val="en-US" w:eastAsia="zh-CN"/>
        </w:rPr>
        <w:t>，</w:t>
      </w:r>
      <w:r>
        <w:rPr>
          <w:rFonts w:hint="default" w:ascii="仿宋_GB2312" w:hAnsi="Times New Roman" w:eastAsia="仿宋_GB2312" w:cs="Times New Roman"/>
          <w:color w:val="auto"/>
          <w:sz w:val="28"/>
          <w:szCs w:val="21"/>
        </w:rPr>
        <w:t>标准委</w:t>
      </w:r>
      <w:r>
        <w:rPr>
          <w:rFonts w:hint="eastAsia" w:hAnsi="Times New Roman" w:cs="Times New Roman"/>
          <w:sz w:val="28"/>
          <w:szCs w:val="21"/>
          <w:lang w:eastAsia="zh-CN"/>
        </w:rPr>
        <w:t>批准</w:t>
      </w:r>
      <w:r>
        <w:rPr>
          <w:rFonts w:hint="default" w:ascii="仿宋_GB2312" w:hAnsi="Times New Roman" w:eastAsia="仿宋_GB2312" w:cs="Times New Roman"/>
          <w:color w:val="auto"/>
          <w:sz w:val="28"/>
          <w:szCs w:val="21"/>
        </w:rPr>
        <w:t>成立全国</w:t>
      </w:r>
      <w:r>
        <w:rPr>
          <w:rFonts w:hint="default" w:ascii="仿宋_GB2312" w:hAnsi="Times New Roman" w:eastAsia="仿宋_GB2312" w:cs="Times New Roman"/>
          <w:color w:val="auto"/>
          <w:sz w:val="28"/>
          <w:szCs w:val="21"/>
          <w:lang w:eastAsia="zh-CN"/>
        </w:rPr>
        <w:t>共享经济</w:t>
      </w:r>
      <w:r>
        <w:rPr>
          <w:rFonts w:hint="default" w:ascii="仿宋_GB2312" w:hAnsi="Times New Roman" w:eastAsia="仿宋_GB2312" w:cs="Times New Roman"/>
          <w:color w:val="auto"/>
          <w:sz w:val="28"/>
          <w:szCs w:val="21"/>
        </w:rPr>
        <w:t>标准化技术委员会、全国</w:t>
      </w:r>
      <w:r>
        <w:rPr>
          <w:rFonts w:hint="default" w:ascii="仿宋_GB2312" w:hAnsi="Times New Roman" w:eastAsia="仿宋_GB2312" w:cs="Times New Roman"/>
          <w:color w:val="auto"/>
          <w:sz w:val="28"/>
          <w:szCs w:val="21"/>
          <w:lang w:eastAsia="zh-CN"/>
        </w:rPr>
        <w:t>婴童用品</w:t>
      </w:r>
      <w:r>
        <w:rPr>
          <w:rFonts w:hint="default" w:ascii="仿宋_GB2312" w:hAnsi="Times New Roman" w:eastAsia="仿宋_GB2312" w:cs="Times New Roman"/>
          <w:color w:val="auto"/>
          <w:sz w:val="28"/>
          <w:szCs w:val="21"/>
        </w:rPr>
        <w:t>标准化</w:t>
      </w:r>
      <w:r>
        <w:rPr>
          <w:rFonts w:hint="default" w:ascii="仿宋_GB2312" w:hAnsi="Times New Roman" w:eastAsia="仿宋_GB2312" w:cs="Times New Roman"/>
          <w:color w:val="auto"/>
          <w:sz w:val="28"/>
          <w:szCs w:val="21"/>
          <w:lang w:eastAsia="zh-CN"/>
        </w:rPr>
        <w:t>工作组</w:t>
      </w:r>
      <w:r>
        <w:rPr>
          <w:rFonts w:hint="default" w:ascii="仿宋_GB2312" w:hAnsi="Times New Roman" w:eastAsia="仿宋_GB2312" w:cs="Times New Roman"/>
          <w:color w:val="auto"/>
          <w:sz w:val="28"/>
          <w:szCs w:val="21"/>
        </w:rPr>
        <w:t>、</w:t>
      </w:r>
      <w:r>
        <w:rPr>
          <w:rFonts w:hint="default" w:ascii="仿宋_GB2312" w:hAnsi="Times New Roman" w:eastAsia="仿宋_GB2312" w:cs="Times New Roman"/>
          <w:color w:val="000000"/>
          <w:kern w:val="2"/>
          <w:sz w:val="28"/>
          <w:szCs w:val="21"/>
        </w:rPr>
        <w:t>全国平板显示器件标准化技术委员会激光显示器件分技术委员会</w:t>
      </w:r>
      <w:r>
        <w:rPr>
          <w:rFonts w:hint="default" w:ascii="仿宋_GB2312" w:hAnsi="Times New Roman" w:eastAsia="仿宋_GB2312" w:cs="Times New Roman"/>
          <w:color w:val="000000"/>
          <w:kern w:val="2"/>
          <w:sz w:val="28"/>
          <w:szCs w:val="21"/>
          <w:lang w:eastAsia="zh-CN"/>
        </w:rPr>
        <w:t>、</w:t>
      </w:r>
      <w:r>
        <w:rPr>
          <w:rFonts w:hint="default" w:ascii="仿宋_GB2312" w:hAnsi="Times New Roman" w:eastAsia="仿宋_GB2312" w:cs="Times New Roman"/>
          <w:color w:val="000000"/>
          <w:kern w:val="2"/>
          <w:sz w:val="28"/>
          <w:szCs w:val="21"/>
        </w:rPr>
        <w:t>全国半导体设备和材料标准化技术委员会微光刻分技术委员会</w:t>
      </w:r>
      <w:r>
        <w:rPr>
          <w:rFonts w:hint="default" w:ascii="仿宋_GB2312" w:hAnsi="Times New Roman" w:eastAsia="仿宋_GB2312" w:cs="Times New Roman"/>
          <w:color w:val="000000"/>
          <w:kern w:val="2"/>
          <w:sz w:val="28"/>
          <w:szCs w:val="21"/>
          <w:lang w:eastAsia="zh-CN"/>
        </w:rPr>
        <w:t>、</w:t>
      </w:r>
      <w:r>
        <w:rPr>
          <w:rFonts w:hint="default" w:ascii="仿宋_GB2312" w:hAnsi="Times New Roman" w:eastAsia="仿宋_GB2312" w:cs="Times New Roman"/>
          <w:color w:val="000000"/>
          <w:kern w:val="2"/>
          <w:sz w:val="28"/>
          <w:szCs w:val="21"/>
        </w:rPr>
        <w:t>全国涂料和颜料标准化技术委员会混凝土防护涂料分技术委员会</w:t>
      </w:r>
      <w:r>
        <w:rPr>
          <w:rFonts w:hint="eastAsia" w:hAnsi="Times New Roman" w:cs="Times New Roman"/>
          <w:kern w:val="2"/>
          <w:sz w:val="28"/>
          <w:szCs w:val="21"/>
          <w:lang w:eastAsia="zh-CN"/>
        </w:rPr>
        <w:t>。</w:t>
      </w:r>
    </w:p>
    <w:p>
      <w:pPr>
        <w:ind w:firstLine="546" w:firstLineChars="200"/>
        <w:jc w:val="both"/>
        <w:rPr>
          <w:rFonts w:hint="default" w:ascii="仿宋_GB2312" w:hAnsi="Times New Roman" w:eastAsia="仿宋_GB2312" w:cs="Times New Roman"/>
          <w:color w:val="auto"/>
          <w:sz w:val="28"/>
          <w:szCs w:val="21"/>
          <w:lang w:eastAsia="zh-CN"/>
        </w:rPr>
      </w:pPr>
      <w:r>
        <w:rPr>
          <w:rFonts w:hint="default" w:ascii="仿宋_GB2312" w:hAnsi="Times New Roman" w:eastAsia="仿宋_GB2312" w:cs="Times New Roman"/>
          <w:color w:val="auto"/>
          <w:sz w:val="28"/>
          <w:szCs w:val="21"/>
          <w:lang w:val="en-US" w:eastAsia="zh-CN"/>
        </w:rPr>
        <w:t>6月15日</w:t>
      </w:r>
      <w:r>
        <w:rPr>
          <w:rFonts w:hint="default" w:ascii="仿宋_GB2312" w:hAnsi="Times New Roman" w:cs="Times New Roman"/>
          <w:color w:val="auto"/>
          <w:sz w:val="28"/>
          <w:szCs w:val="21"/>
          <w:lang w:val="en-US" w:eastAsia="zh-CN"/>
        </w:rPr>
        <w:t>，</w:t>
      </w:r>
      <w:r>
        <w:rPr>
          <w:rFonts w:hint="default" w:ascii="仿宋_GB2312" w:hAnsi="Times New Roman" w:eastAsia="仿宋_GB2312" w:cs="Times New Roman"/>
          <w:sz w:val="28"/>
          <w:szCs w:val="21"/>
        </w:rPr>
        <w:t>标准委</w:t>
      </w:r>
      <w:r>
        <w:rPr>
          <w:rFonts w:hint="default" w:hAnsi="Times New Roman" w:cs="Times New Roman"/>
          <w:sz w:val="28"/>
          <w:szCs w:val="21"/>
          <w:lang w:eastAsia="zh-CN"/>
        </w:rPr>
        <w:t>批准</w:t>
      </w:r>
      <w:r>
        <w:rPr>
          <w:rFonts w:hint="default" w:ascii="仿宋_GB2312" w:hAnsi="Times New Roman" w:eastAsia="仿宋_GB2312" w:cs="Times New Roman"/>
          <w:sz w:val="28"/>
          <w:szCs w:val="21"/>
        </w:rPr>
        <w:t>成立</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地理信息标准化技术委员会信息化分技术委员会、</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地理信息标准化技术委员会测绘分技术委员会、</w:t>
      </w:r>
      <w:r>
        <w:rPr>
          <w:rFonts w:hint="default" w:ascii="仿宋_GB2312" w:hAnsi="Times New Roman" w:eastAsia="仿宋_GB2312" w:cs="Times New Roman"/>
          <w:color w:val="auto"/>
          <w:sz w:val="28"/>
          <w:szCs w:val="21"/>
        </w:rPr>
        <w:t>全国</w:t>
      </w:r>
      <w:r>
        <w:rPr>
          <w:rFonts w:hint="default" w:ascii="仿宋_GB2312" w:hAnsi="Times New Roman" w:eastAsia="仿宋_GB2312" w:cs="Times New Roman"/>
          <w:color w:val="auto"/>
          <w:sz w:val="28"/>
          <w:szCs w:val="21"/>
          <w:lang w:eastAsia="zh-CN"/>
        </w:rPr>
        <w:t>地理信息标准化技术委员会卫星应用分技术委员会。</w:t>
      </w:r>
    </w:p>
    <w:p>
      <w:pPr>
        <w:ind w:firstLine="546" w:firstLineChars="200"/>
        <w:jc w:val="both"/>
        <w:rPr>
          <w:rFonts w:hint="eastAsia"/>
        </w:rPr>
      </w:pPr>
      <w:r>
        <w:rPr>
          <w:rFonts w:hint="eastAsia"/>
        </w:rPr>
        <w:t>6月24日，标准委快速发布《儿童口罩技术规范》等23项疫情防护国家标准外文版，提高疫情防护外文版供给，助力企业复工复产。</w:t>
      </w:r>
    </w:p>
    <w:p>
      <w:pPr>
        <w:ind w:firstLine="546" w:firstLineChars="200"/>
        <w:jc w:val="both"/>
        <w:rPr>
          <w:shd w:val="clear" w:color="auto" w:fill="FFFFFF"/>
        </w:rPr>
      </w:pPr>
      <w:r>
        <w:rPr>
          <w:rFonts w:hint="eastAsia"/>
          <w:szCs w:val="28"/>
        </w:rPr>
        <w:t>7月14日，发展改革委、中央网信办、市场监管总局等13部门联合印发《关于支持新业态新模式健康发展 激活消费市场带动扩大就业的意见》，提出</w:t>
      </w:r>
      <w:r>
        <w:rPr>
          <w:rFonts w:hint="eastAsia"/>
          <w:shd w:val="clear" w:color="auto" w:fill="FFFFFF"/>
        </w:rPr>
        <w:t>探索完善智慧城市联网应用标准，试点探索完善智能公共服务新业态涉及的交通、食品等领域安全发展政策标准，完善具有公共服务属性的共享产品相关标准。</w:t>
      </w:r>
    </w:p>
    <w:p>
      <w:pPr>
        <w:spacing w:line="594" w:lineRule="exact"/>
        <w:ind w:firstLine="546" w:firstLineChars="200"/>
        <w:jc w:val="both"/>
        <w:rPr>
          <w:shd w:val="clear" w:color="auto" w:fill="FFFFFF"/>
        </w:rPr>
      </w:pPr>
      <w:r>
        <w:rPr>
          <w:rFonts w:hint="eastAsia"/>
          <w:shd w:val="clear" w:color="auto" w:fill="FFFFFF"/>
        </w:rPr>
        <w:t>7月1</w:t>
      </w:r>
      <w:r>
        <w:rPr>
          <w:shd w:val="clear" w:color="auto" w:fill="FFFFFF"/>
        </w:rPr>
        <w:t>5</w:t>
      </w:r>
      <w:r>
        <w:rPr>
          <w:rFonts w:hint="eastAsia"/>
          <w:shd w:val="clear" w:color="auto" w:fill="FFFFFF"/>
        </w:rPr>
        <w:t>日，工业和信息化部、发展改革委、教育部等1</w:t>
      </w:r>
      <w:r>
        <w:rPr>
          <w:shd w:val="clear" w:color="auto" w:fill="FFFFFF"/>
        </w:rPr>
        <w:t>5</w:t>
      </w:r>
      <w:r>
        <w:rPr>
          <w:rFonts w:hint="eastAsia"/>
          <w:shd w:val="clear" w:color="auto" w:fill="FFFFFF"/>
        </w:rPr>
        <w:t>部门联合印发《关于进一步促进服务型制造发展的指导意见》，提出要完善服务规范标准，推动面向应用的产品、服务标准</w:t>
      </w:r>
      <w:r>
        <w:rPr>
          <w:rFonts w:hint="eastAsia"/>
          <w:shd w:val="clear" w:color="auto" w:fill="FFFFFF"/>
          <w:lang w:eastAsia="zh-CN"/>
        </w:rPr>
        <w:t>制定</w:t>
      </w:r>
      <w:r>
        <w:rPr>
          <w:rFonts w:hint="eastAsia"/>
          <w:shd w:val="clear" w:color="auto" w:fill="FFFFFF"/>
        </w:rPr>
        <w:t>，加快</w:t>
      </w:r>
      <w:r>
        <w:rPr>
          <w:rFonts w:hint="eastAsia"/>
          <w:shd w:val="clear" w:color="auto" w:fill="FFFFFF"/>
          <w:lang w:eastAsia="zh-CN"/>
        </w:rPr>
        <w:t>制定</w:t>
      </w:r>
      <w:r>
        <w:rPr>
          <w:rFonts w:hint="eastAsia"/>
          <w:shd w:val="clear" w:color="auto" w:fill="FFFFFF"/>
        </w:rPr>
        <w:t>关键技术标准和细分行业应用标准，加强基于质量的工业服务标准化管理，完善相关标准认证认可体系。</w:t>
      </w:r>
    </w:p>
    <w:p>
      <w:pPr>
        <w:spacing w:line="594" w:lineRule="exact"/>
        <w:ind w:firstLine="546" w:firstLineChars="200"/>
        <w:jc w:val="both"/>
        <w:rPr>
          <w:shd w:val="clear" w:color="auto" w:fill="FFFFFF"/>
        </w:rPr>
      </w:pPr>
      <w:r>
        <w:rPr>
          <w:rFonts w:hint="eastAsia"/>
          <w:shd w:val="clear" w:color="auto" w:fill="FFFFFF"/>
        </w:rPr>
        <w:t>7月24日，市场监管总局、农业农村部、卫生健康委联合印发《关于推进农村户用厕所标准体系建设的指导意见》，提出推进农村户用厕所标准体系建设，助力农村厕所革命，促进农村人居环境改善。</w:t>
      </w:r>
    </w:p>
    <w:p>
      <w:pPr>
        <w:spacing w:line="594" w:lineRule="exact"/>
        <w:ind w:firstLine="546" w:firstLineChars="200"/>
        <w:jc w:val="both"/>
        <w:rPr>
          <w:rFonts w:ascii="Segoe UI" w:hAnsi="Segoe UI" w:cs="Segoe UI"/>
        </w:rPr>
      </w:pPr>
      <w:r>
        <w:rPr>
          <w:rFonts w:hint="eastAsia"/>
          <w:shd w:val="clear" w:color="auto" w:fill="FFFFFF"/>
        </w:rPr>
        <w:t>7</w:t>
      </w:r>
      <w:r>
        <w:rPr>
          <w:rFonts w:hint="eastAsia" w:ascii="Segoe UI" w:hAnsi="Segoe UI" w:cs="Segoe UI"/>
        </w:rPr>
        <w:t>月</w:t>
      </w:r>
      <w:r>
        <w:rPr>
          <w:rFonts w:hint="eastAsia"/>
          <w:shd w:val="clear" w:color="auto" w:fill="FFFFFF"/>
        </w:rPr>
        <w:t>28</w:t>
      </w:r>
      <w:r>
        <w:rPr>
          <w:rFonts w:hint="eastAsia" w:ascii="Segoe UI" w:hAnsi="Segoe UI" w:cs="Segoe UI"/>
        </w:rPr>
        <w:t>日，经国务院同意，市场监管总局、国家发展改革委、科技部、工业和信息化部、生态环境部、住房城乡建设部、商务部、国家邮政局联合印发《关于加强快递绿色包装标准化工作的指导意见》，支撑完善标准与法律政策协调配套的快递绿色包装治理体系。</w:t>
      </w:r>
    </w:p>
    <w:p>
      <w:pPr>
        <w:spacing w:line="594" w:lineRule="exact"/>
        <w:ind w:firstLine="546" w:firstLineChars="200"/>
        <w:jc w:val="both"/>
        <w:rPr>
          <w:rFonts w:ascii="Segoe UI" w:hAnsi="Segoe UI" w:cs="Segoe UI"/>
        </w:rPr>
      </w:pPr>
      <w:r>
        <w:rPr>
          <w:rFonts w:hint="eastAsia"/>
        </w:rPr>
        <w:t>8月5日</w:t>
      </w:r>
      <w:r>
        <w:rPr>
          <w:rFonts w:hint="eastAsia" w:ascii="Segoe UI" w:hAnsi="Segoe UI" w:cs="Segoe UI"/>
        </w:rPr>
        <w:t>，标准委、中央网信办、发展改革委等五部门联合印发《国家新一代人工智能标准体系建设指南》，加强人工智能领域标准化顶层设计，推动人工智能产业技术研发和标准制定，促进产业健康可持续发展。</w:t>
      </w:r>
    </w:p>
    <w:p>
      <w:pPr>
        <w:spacing w:line="594" w:lineRule="exact"/>
        <w:ind w:firstLine="546" w:firstLineChars="200"/>
        <w:jc w:val="both"/>
        <w:rPr>
          <w:szCs w:val="28"/>
        </w:rPr>
      </w:pPr>
      <w:r>
        <w:rPr>
          <w:rFonts w:hint="eastAsia"/>
          <w:szCs w:val="28"/>
        </w:rPr>
        <w:t>8月</w:t>
      </w:r>
      <w:r>
        <w:rPr>
          <w:szCs w:val="28"/>
        </w:rPr>
        <w:t>17</w:t>
      </w:r>
      <w:r>
        <w:rPr>
          <w:rFonts w:hint="eastAsia"/>
          <w:szCs w:val="28"/>
        </w:rPr>
        <w:t>日，标准委批准筹建空间科学与应用、水环境技术与装备、建筑工程、智能铸造、蔬菜等5个国家技术标准创新基地。</w:t>
      </w:r>
    </w:p>
    <w:p>
      <w:pPr>
        <w:spacing w:line="594" w:lineRule="exact"/>
        <w:ind w:firstLine="546" w:firstLineChars="200"/>
        <w:jc w:val="both"/>
        <w:rPr>
          <w:szCs w:val="28"/>
        </w:rPr>
      </w:pPr>
      <w:r>
        <w:rPr>
          <w:rFonts w:hint="eastAsia"/>
          <w:szCs w:val="28"/>
        </w:rPr>
        <w:t>8月17日，中英标准化合作双边会谈视频会议在京召开，市场监管总局副局长、标准委主任田世宏，英国国家标准化机构（BSI）标准总裁斯科特·斯蒂德曼共同出席会议。双方就中英标准化合作委员会2021年工作安排达成一致，重点探讨了中英营商环境合作与“中国标准2035”研究项目，并就ISO/IEC框架下的合作、IEC治理变革等工作进行了交流。</w:t>
      </w:r>
    </w:p>
    <w:p>
      <w:pPr>
        <w:spacing w:line="594" w:lineRule="exact"/>
        <w:ind w:firstLine="546" w:firstLineChars="200"/>
        <w:jc w:val="both"/>
        <w:rPr>
          <w:rFonts w:hint="eastAsia"/>
          <w:szCs w:val="28"/>
        </w:rPr>
      </w:pPr>
      <w:r>
        <w:rPr>
          <w:rFonts w:hint="eastAsia"/>
          <w:szCs w:val="28"/>
        </w:rPr>
        <w:t>8月19日，市场监管总局发布《2020年度实施企业标准“领跑者”重点领域》，重点领域包括通用设备制造业的工业机器人、专用设备制造业的计算机及货币专用设备、汽车制造业的新能源车整车以及计算机、通信和其他电子设备制造业的智能消费设备等。</w:t>
      </w:r>
    </w:p>
    <w:p>
      <w:pPr>
        <w:spacing w:line="594" w:lineRule="exact"/>
        <w:ind w:firstLine="546" w:firstLineChars="200"/>
        <w:jc w:val="both"/>
      </w:pPr>
      <w:r>
        <w:rPr>
          <w:rFonts w:hint="eastAsia" w:ascii="仿宋_GB2312" w:hAnsi="Times New Roman" w:eastAsia="仿宋_GB2312" w:cs="Times New Roman"/>
          <w:color w:val="000000" w:themeColor="text1"/>
          <w:sz w:val="28"/>
          <w:szCs w:val="28"/>
          <w14:textFill>
            <w14:solidFill>
              <w14:schemeClr w14:val="tx1"/>
            </w14:solidFill>
          </w14:textFill>
        </w:rPr>
        <w:t>8月</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21</w:t>
      </w:r>
      <w:r>
        <w:rPr>
          <w:rFonts w:hint="eastAsia" w:ascii="仿宋_GB2312" w:hAnsi="Times New Roman" w:eastAsia="仿宋_GB2312" w:cs="Times New Roman"/>
          <w:color w:val="000000" w:themeColor="text1"/>
          <w:sz w:val="28"/>
          <w:szCs w:val="28"/>
          <w14:textFill>
            <w14:solidFill>
              <w14:schemeClr w14:val="tx1"/>
            </w14:solidFill>
          </w14:textFill>
        </w:rPr>
        <w:t>日</w:t>
      </w:r>
      <w:r>
        <w:rPr>
          <w:rFonts w:hint="eastAsia" w:ascii="仿宋_GB2312" w:hAnsi="Times New Roman" w:cs="Times New Roman"/>
          <w:color w:val="000000" w:themeColor="text1"/>
          <w:sz w:val="28"/>
          <w:szCs w:val="28"/>
          <w:lang w:eastAsia="zh-CN"/>
          <w14:textFill>
            <w14:solidFill>
              <w14:schemeClr w14:val="tx1"/>
            </w14:solidFill>
          </w14:textFill>
        </w:rPr>
        <w:t>，</w:t>
      </w:r>
      <w:r>
        <w:rPr>
          <w:rFonts w:hint="eastAsia" w:hAnsi="Times New Roman" w:cs="Times New Roman"/>
          <w:color w:val="000000" w:themeColor="text1"/>
          <w:sz w:val="28"/>
          <w:szCs w:val="28"/>
          <w:lang w:eastAsia="zh-CN"/>
          <w14:textFill>
            <w14:solidFill>
              <w14:schemeClr w14:val="tx1"/>
            </w14:solidFill>
          </w14:textFill>
        </w:rPr>
        <w:t>标准委批准</w:t>
      </w:r>
      <w:r>
        <w:rPr>
          <w:rFonts w:hint="eastAsia" w:ascii="仿宋_GB2312" w:hAnsi="Times New Roman" w:eastAsia="仿宋_GB2312" w:cs="Times New Roman"/>
          <w:color w:val="000000" w:themeColor="text1"/>
          <w:sz w:val="28"/>
          <w:szCs w:val="28"/>
          <w14:textFill>
            <w14:solidFill>
              <w14:schemeClr w14:val="tx1"/>
            </w14:solidFill>
          </w14:textFill>
        </w:rPr>
        <w:t>成立全国宇航技术及其应用标准化技术委员会航天总装测试与试验分技术委员会、全国宇航技术及其应用标准化技术委员会空间碎片分技术委员会、全国宇航技术及其应用标准化技术委员会航天材料与工艺分技术委员会。</w:t>
      </w:r>
    </w:p>
    <w:p>
      <w:pPr>
        <w:spacing w:line="594" w:lineRule="exact"/>
        <w:ind w:firstLine="546" w:firstLineChars="200"/>
        <w:jc w:val="both"/>
        <w:rPr>
          <w:szCs w:val="28"/>
        </w:rPr>
      </w:pPr>
      <w:r>
        <w:rPr>
          <w:rFonts w:hint="eastAsia"/>
          <w:szCs w:val="28"/>
        </w:rPr>
        <w:t>9月11日，国家智能制造标准化协调推进组、总体组和专家咨询组全体会议在京召开，市场监管总局副局长、标准委主任田世宏，工业和信息化部副部长辛国斌出席会议。会议宣读新一届国家智能制造标准化协调推进组、总体组和专家咨询组组成方案，并审议专家咨询组和总体组章程及工作报告。</w:t>
      </w:r>
    </w:p>
    <w:p>
      <w:pPr>
        <w:spacing w:line="594" w:lineRule="exact"/>
        <w:ind w:firstLine="546" w:firstLineChars="200"/>
        <w:jc w:val="both"/>
        <w:rPr>
          <w:szCs w:val="28"/>
        </w:rPr>
      </w:pPr>
      <w:r>
        <w:rPr>
          <w:rFonts w:hint="eastAsia"/>
          <w:szCs w:val="28"/>
        </w:rPr>
        <w:t>9月1</w:t>
      </w:r>
      <w:r>
        <w:rPr>
          <w:szCs w:val="28"/>
        </w:rPr>
        <w:t>6</w:t>
      </w:r>
      <w:r>
        <w:rPr>
          <w:rFonts w:hint="eastAsia"/>
          <w:szCs w:val="28"/>
        </w:rPr>
        <w:t>日，国务院办公厅印发《关于以新业态新模式引领新型消费加快发展的意见》，提出要健全服务标准体系，推进新型消费标准化建设，支持和鼓励平台企业、行业组织、研究机构等研究制定支撑新型消费的服务标准。</w:t>
      </w:r>
    </w:p>
    <w:p>
      <w:pPr>
        <w:spacing w:line="594" w:lineRule="exact"/>
        <w:ind w:firstLine="546" w:firstLineChars="200"/>
        <w:jc w:val="both"/>
        <w:rPr>
          <w:szCs w:val="28"/>
        </w:rPr>
      </w:pPr>
      <w:r>
        <w:rPr>
          <w:rFonts w:hint="eastAsia"/>
          <w:szCs w:val="28"/>
        </w:rPr>
        <w:t>9月21—24日，我国参与第43届ISO大会和第113届ISO理事会视频会议，就ISO战略实施举措、区域参与政策、前瞻性研究框架等议题提出中国建议意见。</w:t>
      </w:r>
    </w:p>
    <w:p>
      <w:pPr>
        <w:spacing w:line="594" w:lineRule="exact"/>
        <w:ind w:firstLine="546" w:firstLineChars="200"/>
        <w:jc w:val="both"/>
        <w:rPr>
          <w:szCs w:val="28"/>
        </w:rPr>
      </w:pPr>
      <w:r>
        <w:rPr>
          <w:rFonts w:hint="eastAsia"/>
          <w:szCs w:val="28"/>
        </w:rPr>
        <w:t>10月10日，全国工商联、市场监管总局共同召开民营经济领域标准化工作推进电视电话会议。会议提出广大民营企业要进一步强化标准化意识，要加大标准化创新力度，注重提升品牌标准化。各级工商联要切实抓好标准化推进工作，助力国家标准化战略实施，助力民营企业迈向高质量发展，助力民营企业“走出去”。全国政协副主席、全国工商联主席高云龙，市场监管总局党组书记、局长张工出席会议并讲话，中央统战部副部长、全国工商联党组书记、常务副主席徐乐江主持会议。</w:t>
      </w:r>
    </w:p>
    <w:p>
      <w:pPr>
        <w:spacing w:line="594" w:lineRule="exact"/>
        <w:ind w:firstLine="546" w:firstLineChars="200"/>
        <w:jc w:val="both"/>
        <w:rPr>
          <w:szCs w:val="28"/>
        </w:rPr>
      </w:pPr>
      <w:r>
        <w:rPr>
          <w:rFonts w:hint="eastAsia"/>
          <w:szCs w:val="28"/>
        </w:rPr>
        <w:t>10月14日，2020年世界标准日主题活动在山西省太原市举办。会议提出要加快完善生态系统治理标准，建设美丽宜居家园；持续优化环境保护标准，打赢污染防治攻坚战；深入推进资源节约循环利用，引领产业转型升级；深度参与国际标准合作，助力实现全球可持续发展目标。山西省省长林武，市场监管总局副局长、标准委主任田世宏，林草局副局长彭有冬，工程院院士王海舟出席并讲话。IEC主席舒印彪宣读世界标准日祝词。参会领导和嘉宾为中国标准创新贡献奖等获奖代表颁奖。</w:t>
      </w:r>
    </w:p>
    <w:p>
      <w:pPr>
        <w:spacing w:line="594" w:lineRule="exact"/>
        <w:ind w:firstLine="546" w:firstLineChars="200"/>
        <w:jc w:val="both"/>
        <w:rPr>
          <w:szCs w:val="28"/>
        </w:rPr>
      </w:pPr>
      <w:r>
        <w:rPr>
          <w:rFonts w:hint="eastAsia"/>
          <w:szCs w:val="28"/>
        </w:rPr>
        <w:t xml:space="preserve">10月14日，中西部地区标准化工作座谈会在太原召开。市场监管总局副局长、标准委主任田世宏出席并讲话，山西省副省长吴伟出席并致辞。会议提出要坚持新发展理念，紧跟国家发展战略，紧贴标准化工作实际和地方需求，突出标准化在推动高质量发展中的引领作用。要把握标准与大市场、大质量、大监管的关系，处理好标准与计量、检验检测、认证一体推进的关系。要发挥好标准化在优化营商环境、推动制度型开放、促进高质量发展、完善监管规则等四个方面的积极作用。 </w:t>
      </w:r>
    </w:p>
    <w:p>
      <w:pPr>
        <w:spacing w:line="594" w:lineRule="exact"/>
        <w:ind w:firstLine="546" w:firstLineChars="200"/>
        <w:jc w:val="both"/>
        <w:rPr>
          <w:szCs w:val="28"/>
        </w:rPr>
      </w:pPr>
      <w:r>
        <w:rPr>
          <w:rFonts w:hint="eastAsia"/>
          <w:szCs w:val="28"/>
        </w:rPr>
        <w:t>10月21日，市场监管总局在浙江义乌召开国家标准化综合改革试点交流座谈会。市场监管总局副局长、标准委主任田世宏出席会议并讲话。会上，浙江省、山西省、江苏省、山东省、广东省介绍了国家标准化综合改革试点工作情况，武汉市、沈阳市、许昌市、如皋市、阳朔县就国家标准化改革创新先行区试点工作情况进行交流。</w:t>
      </w:r>
    </w:p>
    <w:p>
      <w:pPr>
        <w:spacing w:line="594" w:lineRule="exact"/>
        <w:ind w:firstLine="546" w:firstLineChars="200"/>
        <w:jc w:val="both"/>
        <w:rPr>
          <w:szCs w:val="28"/>
        </w:rPr>
      </w:pPr>
      <w:r>
        <w:rPr>
          <w:rFonts w:hint="eastAsia"/>
          <w:szCs w:val="28"/>
        </w:rPr>
        <w:t>11月13日，第84届国际电工委员会（IEC）大会理事会会议以视频形式召开，IEC大会中国代表团参加了该视频会议。会议选举产生了IEC司库、IEC副主席兼合格评定局主席等重要职务，审议批准了2021年IEC标准和服务预算，选举任命了2020、2021和2022年IEC审计师等。</w:t>
      </w:r>
    </w:p>
    <w:p>
      <w:pPr>
        <w:spacing w:line="594" w:lineRule="exact"/>
        <w:ind w:firstLine="546" w:firstLineChars="200"/>
        <w:jc w:val="both"/>
        <w:rPr>
          <w:szCs w:val="28"/>
        </w:rPr>
      </w:pPr>
      <w:r>
        <w:rPr>
          <w:rFonts w:hint="eastAsia"/>
          <w:szCs w:val="28"/>
        </w:rPr>
        <w:t>11月19日，市场监管总局发布《台式乌龙茶》和《台式乌龙茶加工技术规范》两项国家标准，推动两岸乌龙茶标准共通，提升台式乌龙茶国际竞争力。</w:t>
      </w:r>
    </w:p>
    <w:p>
      <w:pPr>
        <w:spacing w:line="594" w:lineRule="exact"/>
        <w:ind w:firstLine="546" w:firstLineChars="200"/>
        <w:jc w:val="both"/>
        <w:rPr>
          <w:szCs w:val="28"/>
        </w:rPr>
      </w:pPr>
      <w:r>
        <w:rPr>
          <w:szCs w:val="28"/>
        </w:rPr>
        <w:t>1</w:t>
      </w:r>
      <w:r>
        <w:rPr>
          <w:rFonts w:hint="eastAsia"/>
          <w:szCs w:val="28"/>
        </w:rPr>
        <w:t>1月24日，中美标准化合作双边视频会议召开。市场监管总局副局长、标准委主任田世宏，美国国家标准化机构（ANSI）主席乔·巴提亚共同出席会议。双方就两国标准化战略研究进展情况，就标准化战略实施对国际标准化的影响等进行深入研讨。</w:t>
      </w:r>
    </w:p>
    <w:p>
      <w:pPr>
        <w:spacing w:line="594" w:lineRule="exact"/>
        <w:ind w:firstLine="546" w:firstLineChars="200"/>
        <w:jc w:val="both"/>
        <w:rPr>
          <w:szCs w:val="28"/>
        </w:rPr>
      </w:pPr>
      <w:r>
        <w:rPr>
          <w:rFonts w:hint="eastAsia"/>
          <w:szCs w:val="28"/>
        </w:rPr>
        <w:t>11月24日，标准委印发《国家标准采用国际标准工作指南（2020年版）》，重点支持农业和食品、消费品、装备制造业、信息技术与电工电力、新材料、服务业、社会管理和公共服务及能源资源领域的采标项目列入国家标准制修订计划，为各相关方做好采标工作提供指导，加快推进中国标准与国际标准之间的转化运用。</w:t>
      </w:r>
    </w:p>
    <w:p>
      <w:pPr>
        <w:spacing w:line="594" w:lineRule="exact"/>
        <w:ind w:firstLine="546" w:firstLineChars="200"/>
        <w:jc w:val="both"/>
        <w:rPr>
          <w:szCs w:val="28"/>
        </w:rPr>
      </w:pPr>
      <w:r>
        <w:rPr>
          <w:rFonts w:hint="eastAsia"/>
          <w:szCs w:val="28"/>
        </w:rPr>
        <w:t>12月6日，</w:t>
      </w:r>
      <w:r>
        <w:rPr>
          <w:rFonts w:hint="eastAsia"/>
          <w:szCs w:val="28"/>
          <w:lang w:eastAsia="zh-CN"/>
        </w:rPr>
        <w:t>由</w:t>
      </w:r>
      <w:r>
        <w:rPr>
          <w:rFonts w:hint="eastAsia"/>
          <w:szCs w:val="28"/>
        </w:rPr>
        <w:t>标准委指导，中国电机工程学会主办的“2020国际标准峰会”在北京召开。峰会以“聚焦标准化战略，引领高质量发展”为主题，围绕标准化领域热点问题开展研讨交流，IEC、ISO和ITU秘书长向大会发来视频致辞。</w:t>
      </w:r>
    </w:p>
    <w:p>
      <w:pPr>
        <w:spacing w:line="594" w:lineRule="exact"/>
        <w:ind w:firstLine="546" w:firstLineChars="200"/>
        <w:jc w:val="both"/>
        <w:rPr>
          <w:szCs w:val="28"/>
        </w:rPr>
      </w:pPr>
      <w:r>
        <w:rPr>
          <w:rFonts w:hint="eastAsia"/>
          <w:szCs w:val="28"/>
        </w:rPr>
        <w:t>12月22日，标准委、军委装备发展部联合印发《关于规范军民通用的国家标准制定程序的通知》，对军民通用的国家标准制定程序作出统一规定。</w:t>
      </w:r>
    </w:p>
    <w:p>
      <w:pPr>
        <w:spacing w:line="594" w:lineRule="exact"/>
        <w:ind w:firstLine="546" w:firstLineChars="200"/>
        <w:jc w:val="both"/>
        <w:rPr>
          <w:szCs w:val="28"/>
        </w:rPr>
      </w:pPr>
      <w:r>
        <w:rPr>
          <w:rFonts w:hint="eastAsia"/>
          <w:szCs w:val="28"/>
        </w:rPr>
        <w:t>1</w:t>
      </w:r>
      <w:r>
        <w:rPr>
          <w:szCs w:val="28"/>
        </w:rPr>
        <w:t>2</w:t>
      </w:r>
      <w:r>
        <w:rPr>
          <w:rFonts w:hint="eastAsia"/>
          <w:szCs w:val="28"/>
        </w:rPr>
        <w:t>月2</w:t>
      </w:r>
      <w:r>
        <w:rPr>
          <w:szCs w:val="28"/>
        </w:rPr>
        <w:t>8</w:t>
      </w:r>
      <w:r>
        <w:rPr>
          <w:rFonts w:hint="eastAsia"/>
          <w:szCs w:val="28"/>
        </w:rPr>
        <w:t>日，工业和信息化部公布2020年团体标准应用示范项目名单，覆盖建材、机械、日用消费品、信息通信等领域。</w:t>
      </w:r>
    </w:p>
    <w:p>
      <w:pPr>
        <w:spacing w:line="594" w:lineRule="exact"/>
        <w:ind w:firstLine="546" w:firstLineChars="200"/>
        <w:jc w:val="both"/>
        <w:rPr>
          <w:szCs w:val="28"/>
        </w:rPr>
      </w:pPr>
      <w:r>
        <w:rPr>
          <w:rFonts w:hint="eastAsia"/>
          <w:szCs w:val="28"/>
        </w:rPr>
        <w:t>12月28日，市场监管总局以“国家标准助力政务服务‘好差评’”为主题，召开例行新闻发布会，会上发布了《政务服务评价工作指南》和《政务服务“一次一评”“一事一评”工作规范》两项国家标准。</w:t>
      </w:r>
    </w:p>
    <w:sectPr>
      <w:pgSz w:w="11906" w:h="16838"/>
      <w:pgMar w:top="1985" w:right="1361" w:bottom="1361" w:left="1588" w:header="851" w:footer="1418" w:gutter="0"/>
      <w:cols w:space="720"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Heiti SC Light">
    <w:altName w:val="仿宋"/>
    <w:panose1 w:val="00000000000000000000"/>
    <w:charset w:val="50"/>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Batang">
    <w:panose1 w:val="02030600000101010101"/>
    <w:charset w:val="81"/>
    <w:family w:val="roman"/>
    <w:pitch w:val="default"/>
    <w:sig w:usb0="B00002AF" w:usb1="69D77CFB" w:usb2="00000030" w:usb3="00000000" w:csb0="4008009F" w:csb1="DFD7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0" w:usb3="00000000" w:csb0="00000093"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643"/>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64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16</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ind w:firstLine="64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16</w:t>
                    </w:r>
                    <w:r>
                      <w:rPr>
                        <w:rFonts w:ascii="Times New Roman" w:hAnsi="Times New Roman" w:cs="Times New Roman"/>
                        <w:sz w:val="24"/>
                        <w:szCs w:val="24"/>
                      </w:rPr>
                      <w:fldChar w:fldCharType="end"/>
                    </w:r>
                  </w:p>
                </w:txbxContent>
              </v:textbox>
            </v:shape>
          </w:pict>
        </mc:Fallback>
      </mc:AlternateContent>
    </w:r>
  </w:p>
  <w:p>
    <w:pPr>
      <w:pStyle w:val="16"/>
      <w:jc w:val="right"/>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EEA36"/>
    <w:multiLevelType w:val="singleLevel"/>
    <w:tmpl w:val="A5BEEA3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打绿">
    <w15:presenceInfo w15:providerId="WPS Office" w15:userId="4098848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trackRevisions w:val="1"/>
  <w:documentProtection w:edit="forms" w:enforcement="0"/>
  <w:defaultTabStop w:val="420"/>
  <w:doNotHyphenateCaps/>
  <w:drawingGridHorizontalSpacing w:val="101"/>
  <w:drawingGridVerticalSpacing w:val="14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99"/>
    <w:rsid w:val="000005DE"/>
    <w:rsid w:val="0000085C"/>
    <w:rsid w:val="00000F14"/>
    <w:rsid w:val="000016E6"/>
    <w:rsid w:val="000025D6"/>
    <w:rsid w:val="000028A9"/>
    <w:rsid w:val="000041FB"/>
    <w:rsid w:val="000057E5"/>
    <w:rsid w:val="00005BEF"/>
    <w:rsid w:val="00005E57"/>
    <w:rsid w:val="0000661C"/>
    <w:rsid w:val="00006941"/>
    <w:rsid w:val="00007FFC"/>
    <w:rsid w:val="000102E5"/>
    <w:rsid w:val="0001052D"/>
    <w:rsid w:val="00010D88"/>
    <w:rsid w:val="000113FF"/>
    <w:rsid w:val="00014D33"/>
    <w:rsid w:val="000157C2"/>
    <w:rsid w:val="000158C5"/>
    <w:rsid w:val="0001672F"/>
    <w:rsid w:val="000167E4"/>
    <w:rsid w:val="000169BF"/>
    <w:rsid w:val="000170B0"/>
    <w:rsid w:val="00017B3A"/>
    <w:rsid w:val="00017C1E"/>
    <w:rsid w:val="00020712"/>
    <w:rsid w:val="0002134A"/>
    <w:rsid w:val="00023F73"/>
    <w:rsid w:val="000241AF"/>
    <w:rsid w:val="0002441F"/>
    <w:rsid w:val="00024460"/>
    <w:rsid w:val="000244E4"/>
    <w:rsid w:val="000260E6"/>
    <w:rsid w:val="00030028"/>
    <w:rsid w:val="000300F6"/>
    <w:rsid w:val="00030849"/>
    <w:rsid w:val="00030CFF"/>
    <w:rsid w:val="000316C5"/>
    <w:rsid w:val="00032B42"/>
    <w:rsid w:val="00034D43"/>
    <w:rsid w:val="000354A4"/>
    <w:rsid w:val="00037D94"/>
    <w:rsid w:val="00040255"/>
    <w:rsid w:val="00040451"/>
    <w:rsid w:val="000404E8"/>
    <w:rsid w:val="00040BE6"/>
    <w:rsid w:val="000411D8"/>
    <w:rsid w:val="00041812"/>
    <w:rsid w:val="00041C71"/>
    <w:rsid w:val="00041E28"/>
    <w:rsid w:val="00042468"/>
    <w:rsid w:val="00042C73"/>
    <w:rsid w:val="000436CC"/>
    <w:rsid w:val="00044046"/>
    <w:rsid w:val="000440A0"/>
    <w:rsid w:val="000443E1"/>
    <w:rsid w:val="00044CDA"/>
    <w:rsid w:val="00044D45"/>
    <w:rsid w:val="000454F8"/>
    <w:rsid w:val="00047104"/>
    <w:rsid w:val="00047AC9"/>
    <w:rsid w:val="00050C39"/>
    <w:rsid w:val="00051B94"/>
    <w:rsid w:val="00051D21"/>
    <w:rsid w:val="00052810"/>
    <w:rsid w:val="00052C6A"/>
    <w:rsid w:val="00052D85"/>
    <w:rsid w:val="0005348E"/>
    <w:rsid w:val="00053BF0"/>
    <w:rsid w:val="000563FA"/>
    <w:rsid w:val="00056B74"/>
    <w:rsid w:val="00057DB9"/>
    <w:rsid w:val="00057F49"/>
    <w:rsid w:val="00060124"/>
    <w:rsid w:val="00060327"/>
    <w:rsid w:val="0006079F"/>
    <w:rsid w:val="0006258E"/>
    <w:rsid w:val="00062923"/>
    <w:rsid w:val="00062A41"/>
    <w:rsid w:val="0006473F"/>
    <w:rsid w:val="0006480D"/>
    <w:rsid w:val="00064E00"/>
    <w:rsid w:val="000656BB"/>
    <w:rsid w:val="00065836"/>
    <w:rsid w:val="000663C7"/>
    <w:rsid w:val="00066BEB"/>
    <w:rsid w:val="000705DF"/>
    <w:rsid w:val="00071B10"/>
    <w:rsid w:val="00071EF7"/>
    <w:rsid w:val="00071F3A"/>
    <w:rsid w:val="000729DA"/>
    <w:rsid w:val="00072CCA"/>
    <w:rsid w:val="00072F2C"/>
    <w:rsid w:val="00072FEE"/>
    <w:rsid w:val="00074850"/>
    <w:rsid w:val="00074D9A"/>
    <w:rsid w:val="000760BF"/>
    <w:rsid w:val="0007661A"/>
    <w:rsid w:val="0007662F"/>
    <w:rsid w:val="00076FCD"/>
    <w:rsid w:val="00077360"/>
    <w:rsid w:val="000775FF"/>
    <w:rsid w:val="000776C4"/>
    <w:rsid w:val="0007794F"/>
    <w:rsid w:val="000779DE"/>
    <w:rsid w:val="0008009B"/>
    <w:rsid w:val="0008110B"/>
    <w:rsid w:val="0008151C"/>
    <w:rsid w:val="00082ED7"/>
    <w:rsid w:val="0008367D"/>
    <w:rsid w:val="00084326"/>
    <w:rsid w:val="00084C92"/>
    <w:rsid w:val="00085019"/>
    <w:rsid w:val="000853EC"/>
    <w:rsid w:val="00085593"/>
    <w:rsid w:val="000858B7"/>
    <w:rsid w:val="00085DEF"/>
    <w:rsid w:val="000862AD"/>
    <w:rsid w:val="00087B52"/>
    <w:rsid w:val="00087FF8"/>
    <w:rsid w:val="00091833"/>
    <w:rsid w:val="00091C83"/>
    <w:rsid w:val="00091D93"/>
    <w:rsid w:val="000924F8"/>
    <w:rsid w:val="000929C3"/>
    <w:rsid w:val="00092C58"/>
    <w:rsid w:val="00092F5F"/>
    <w:rsid w:val="00093225"/>
    <w:rsid w:val="0009457F"/>
    <w:rsid w:val="0009459C"/>
    <w:rsid w:val="00095187"/>
    <w:rsid w:val="000952BA"/>
    <w:rsid w:val="00095BB9"/>
    <w:rsid w:val="000975CC"/>
    <w:rsid w:val="000A328A"/>
    <w:rsid w:val="000A3ECB"/>
    <w:rsid w:val="000A4F21"/>
    <w:rsid w:val="000A5E9A"/>
    <w:rsid w:val="000A6112"/>
    <w:rsid w:val="000A65B8"/>
    <w:rsid w:val="000A6747"/>
    <w:rsid w:val="000A6D54"/>
    <w:rsid w:val="000B09B1"/>
    <w:rsid w:val="000B1ACF"/>
    <w:rsid w:val="000B260F"/>
    <w:rsid w:val="000B2A45"/>
    <w:rsid w:val="000B2BED"/>
    <w:rsid w:val="000B301D"/>
    <w:rsid w:val="000B3C99"/>
    <w:rsid w:val="000B3D0C"/>
    <w:rsid w:val="000B3E4C"/>
    <w:rsid w:val="000B488B"/>
    <w:rsid w:val="000B6E6A"/>
    <w:rsid w:val="000B7019"/>
    <w:rsid w:val="000B7AA5"/>
    <w:rsid w:val="000B7ABD"/>
    <w:rsid w:val="000B7C42"/>
    <w:rsid w:val="000C062D"/>
    <w:rsid w:val="000C0690"/>
    <w:rsid w:val="000C2717"/>
    <w:rsid w:val="000C2B44"/>
    <w:rsid w:val="000C3102"/>
    <w:rsid w:val="000C4379"/>
    <w:rsid w:val="000C55E5"/>
    <w:rsid w:val="000C58C1"/>
    <w:rsid w:val="000C6DB1"/>
    <w:rsid w:val="000C7986"/>
    <w:rsid w:val="000D04FA"/>
    <w:rsid w:val="000D071E"/>
    <w:rsid w:val="000D1161"/>
    <w:rsid w:val="000D13EA"/>
    <w:rsid w:val="000D156D"/>
    <w:rsid w:val="000D17DB"/>
    <w:rsid w:val="000D2607"/>
    <w:rsid w:val="000D34E4"/>
    <w:rsid w:val="000D3516"/>
    <w:rsid w:val="000D36CC"/>
    <w:rsid w:val="000D3C3E"/>
    <w:rsid w:val="000D3E11"/>
    <w:rsid w:val="000D47DF"/>
    <w:rsid w:val="000D4B39"/>
    <w:rsid w:val="000D4D39"/>
    <w:rsid w:val="000D5001"/>
    <w:rsid w:val="000D5559"/>
    <w:rsid w:val="000D5691"/>
    <w:rsid w:val="000D5F16"/>
    <w:rsid w:val="000D6356"/>
    <w:rsid w:val="000D7007"/>
    <w:rsid w:val="000D78CF"/>
    <w:rsid w:val="000E0B5A"/>
    <w:rsid w:val="000E1F5B"/>
    <w:rsid w:val="000E2298"/>
    <w:rsid w:val="000E281E"/>
    <w:rsid w:val="000E2EA9"/>
    <w:rsid w:val="000E3322"/>
    <w:rsid w:val="000E3981"/>
    <w:rsid w:val="000E3E78"/>
    <w:rsid w:val="000E4C6C"/>
    <w:rsid w:val="000E546C"/>
    <w:rsid w:val="000E619C"/>
    <w:rsid w:val="000E6355"/>
    <w:rsid w:val="000E6BFC"/>
    <w:rsid w:val="000E71E4"/>
    <w:rsid w:val="000E7799"/>
    <w:rsid w:val="000E7AAC"/>
    <w:rsid w:val="000E7FA5"/>
    <w:rsid w:val="000F01AE"/>
    <w:rsid w:val="000F02FC"/>
    <w:rsid w:val="000F033A"/>
    <w:rsid w:val="000F1006"/>
    <w:rsid w:val="000F15C0"/>
    <w:rsid w:val="000F1E86"/>
    <w:rsid w:val="000F2026"/>
    <w:rsid w:val="000F23A2"/>
    <w:rsid w:val="000F23BC"/>
    <w:rsid w:val="000F2449"/>
    <w:rsid w:val="000F4E2B"/>
    <w:rsid w:val="000F4F39"/>
    <w:rsid w:val="000F4F7C"/>
    <w:rsid w:val="000F51B1"/>
    <w:rsid w:val="000F5389"/>
    <w:rsid w:val="000F571F"/>
    <w:rsid w:val="000F5971"/>
    <w:rsid w:val="000F600F"/>
    <w:rsid w:val="000F65C4"/>
    <w:rsid w:val="000F6D5E"/>
    <w:rsid w:val="000F75E9"/>
    <w:rsid w:val="000F7C16"/>
    <w:rsid w:val="00100F3D"/>
    <w:rsid w:val="001018FC"/>
    <w:rsid w:val="00101FCA"/>
    <w:rsid w:val="00103103"/>
    <w:rsid w:val="00103A0F"/>
    <w:rsid w:val="00104620"/>
    <w:rsid w:val="001046A5"/>
    <w:rsid w:val="0010490F"/>
    <w:rsid w:val="0010521E"/>
    <w:rsid w:val="0010590E"/>
    <w:rsid w:val="00105FDE"/>
    <w:rsid w:val="00107532"/>
    <w:rsid w:val="00107B5A"/>
    <w:rsid w:val="00110568"/>
    <w:rsid w:val="001108E6"/>
    <w:rsid w:val="00112800"/>
    <w:rsid w:val="00112933"/>
    <w:rsid w:val="001136D6"/>
    <w:rsid w:val="001138E4"/>
    <w:rsid w:val="00114620"/>
    <w:rsid w:val="00114B59"/>
    <w:rsid w:val="00114DF3"/>
    <w:rsid w:val="00115699"/>
    <w:rsid w:val="0011572E"/>
    <w:rsid w:val="001165AD"/>
    <w:rsid w:val="00116A74"/>
    <w:rsid w:val="001172CC"/>
    <w:rsid w:val="00117D9D"/>
    <w:rsid w:val="00117F10"/>
    <w:rsid w:val="00120195"/>
    <w:rsid w:val="001205B9"/>
    <w:rsid w:val="00120A13"/>
    <w:rsid w:val="00120BC9"/>
    <w:rsid w:val="00122980"/>
    <w:rsid w:val="00123616"/>
    <w:rsid w:val="0012476F"/>
    <w:rsid w:val="00125175"/>
    <w:rsid w:val="0012555C"/>
    <w:rsid w:val="0012556D"/>
    <w:rsid w:val="00125DEF"/>
    <w:rsid w:val="001276E5"/>
    <w:rsid w:val="001276F2"/>
    <w:rsid w:val="001311C0"/>
    <w:rsid w:val="001318A0"/>
    <w:rsid w:val="00131E0E"/>
    <w:rsid w:val="00132740"/>
    <w:rsid w:val="001331E6"/>
    <w:rsid w:val="00133C11"/>
    <w:rsid w:val="00134732"/>
    <w:rsid w:val="00136B66"/>
    <w:rsid w:val="001377C9"/>
    <w:rsid w:val="00140931"/>
    <w:rsid w:val="001418CA"/>
    <w:rsid w:val="00141C5E"/>
    <w:rsid w:val="00141E8E"/>
    <w:rsid w:val="0014263C"/>
    <w:rsid w:val="00143182"/>
    <w:rsid w:val="00143EA1"/>
    <w:rsid w:val="00145206"/>
    <w:rsid w:val="001463B2"/>
    <w:rsid w:val="00150484"/>
    <w:rsid w:val="00151788"/>
    <w:rsid w:val="00151E5B"/>
    <w:rsid w:val="001527FD"/>
    <w:rsid w:val="00152C81"/>
    <w:rsid w:val="0015451C"/>
    <w:rsid w:val="00154551"/>
    <w:rsid w:val="00157D5F"/>
    <w:rsid w:val="00160190"/>
    <w:rsid w:val="00160362"/>
    <w:rsid w:val="001612F6"/>
    <w:rsid w:val="0016135F"/>
    <w:rsid w:val="00161B7F"/>
    <w:rsid w:val="001628DB"/>
    <w:rsid w:val="00163442"/>
    <w:rsid w:val="00163F2D"/>
    <w:rsid w:val="0016418D"/>
    <w:rsid w:val="00164D4D"/>
    <w:rsid w:val="001654E6"/>
    <w:rsid w:val="001656CD"/>
    <w:rsid w:val="00165A62"/>
    <w:rsid w:val="00171492"/>
    <w:rsid w:val="00171961"/>
    <w:rsid w:val="00172005"/>
    <w:rsid w:val="0017237C"/>
    <w:rsid w:val="00173CED"/>
    <w:rsid w:val="00173FD8"/>
    <w:rsid w:val="00175836"/>
    <w:rsid w:val="00175868"/>
    <w:rsid w:val="00176205"/>
    <w:rsid w:val="001769B4"/>
    <w:rsid w:val="00177D7A"/>
    <w:rsid w:val="00180763"/>
    <w:rsid w:val="001821B2"/>
    <w:rsid w:val="00182211"/>
    <w:rsid w:val="00182BF2"/>
    <w:rsid w:val="00184045"/>
    <w:rsid w:val="00184DED"/>
    <w:rsid w:val="00184E62"/>
    <w:rsid w:val="0018607B"/>
    <w:rsid w:val="001860D4"/>
    <w:rsid w:val="00186CA2"/>
    <w:rsid w:val="00186DEC"/>
    <w:rsid w:val="00187064"/>
    <w:rsid w:val="001872E6"/>
    <w:rsid w:val="001902C7"/>
    <w:rsid w:val="001910CA"/>
    <w:rsid w:val="0019204F"/>
    <w:rsid w:val="00192DB3"/>
    <w:rsid w:val="00192DCE"/>
    <w:rsid w:val="0019318E"/>
    <w:rsid w:val="00193AF4"/>
    <w:rsid w:val="001947E0"/>
    <w:rsid w:val="00194A30"/>
    <w:rsid w:val="00194B36"/>
    <w:rsid w:val="00195A49"/>
    <w:rsid w:val="0019608A"/>
    <w:rsid w:val="00197018"/>
    <w:rsid w:val="00197989"/>
    <w:rsid w:val="00197EBC"/>
    <w:rsid w:val="001A1178"/>
    <w:rsid w:val="001A16EA"/>
    <w:rsid w:val="001A394D"/>
    <w:rsid w:val="001A56AC"/>
    <w:rsid w:val="001A5738"/>
    <w:rsid w:val="001A607A"/>
    <w:rsid w:val="001A75F9"/>
    <w:rsid w:val="001A7AC0"/>
    <w:rsid w:val="001A7B9B"/>
    <w:rsid w:val="001B0689"/>
    <w:rsid w:val="001B06B1"/>
    <w:rsid w:val="001B0798"/>
    <w:rsid w:val="001B113A"/>
    <w:rsid w:val="001B18C5"/>
    <w:rsid w:val="001B2E59"/>
    <w:rsid w:val="001B2FE0"/>
    <w:rsid w:val="001B37A4"/>
    <w:rsid w:val="001B3A62"/>
    <w:rsid w:val="001B3B1E"/>
    <w:rsid w:val="001B3DDA"/>
    <w:rsid w:val="001B4598"/>
    <w:rsid w:val="001B46B7"/>
    <w:rsid w:val="001B615B"/>
    <w:rsid w:val="001B6245"/>
    <w:rsid w:val="001B6FF9"/>
    <w:rsid w:val="001B7716"/>
    <w:rsid w:val="001B7A56"/>
    <w:rsid w:val="001C020D"/>
    <w:rsid w:val="001C0D34"/>
    <w:rsid w:val="001C10BF"/>
    <w:rsid w:val="001C1631"/>
    <w:rsid w:val="001C18D7"/>
    <w:rsid w:val="001C1DE2"/>
    <w:rsid w:val="001C2BB3"/>
    <w:rsid w:val="001C310B"/>
    <w:rsid w:val="001C329E"/>
    <w:rsid w:val="001C43F4"/>
    <w:rsid w:val="001C4CA6"/>
    <w:rsid w:val="001C4E41"/>
    <w:rsid w:val="001C70CC"/>
    <w:rsid w:val="001D12AF"/>
    <w:rsid w:val="001D175E"/>
    <w:rsid w:val="001D1838"/>
    <w:rsid w:val="001D2886"/>
    <w:rsid w:val="001D3201"/>
    <w:rsid w:val="001D3949"/>
    <w:rsid w:val="001D4A92"/>
    <w:rsid w:val="001D4EE0"/>
    <w:rsid w:val="001D57C2"/>
    <w:rsid w:val="001D5E18"/>
    <w:rsid w:val="001D5E7B"/>
    <w:rsid w:val="001D690E"/>
    <w:rsid w:val="001D732E"/>
    <w:rsid w:val="001D7895"/>
    <w:rsid w:val="001D79E6"/>
    <w:rsid w:val="001E1AB8"/>
    <w:rsid w:val="001E26DF"/>
    <w:rsid w:val="001E2709"/>
    <w:rsid w:val="001E28DC"/>
    <w:rsid w:val="001E3225"/>
    <w:rsid w:val="001E3CBF"/>
    <w:rsid w:val="001E3F99"/>
    <w:rsid w:val="001E4710"/>
    <w:rsid w:val="001E4B72"/>
    <w:rsid w:val="001E4C96"/>
    <w:rsid w:val="001E4DA0"/>
    <w:rsid w:val="001E55FE"/>
    <w:rsid w:val="001E6EF2"/>
    <w:rsid w:val="001E7923"/>
    <w:rsid w:val="001F066D"/>
    <w:rsid w:val="001F09B6"/>
    <w:rsid w:val="001F0B02"/>
    <w:rsid w:val="001F2026"/>
    <w:rsid w:val="001F314E"/>
    <w:rsid w:val="001F556E"/>
    <w:rsid w:val="001F642A"/>
    <w:rsid w:val="001F6CB7"/>
    <w:rsid w:val="001F6F90"/>
    <w:rsid w:val="001F75E8"/>
    <w:rsid w:val="001F775E"/>
    <w:rsid w:val="001F783F"/>
    <w:rsid w:val="00200B96"/>
    <w:rsid w:val="0020217E"/>
    <w:rsid w:val="00202582"/>
    <w:rsid w:val="00202E17"/>
    <w:rsid w:val="00202FDD"/>
    <w:rsid w:val="00202FE4"/>
    <w:rsid w:val="0020353D"/>
    <w:rsid w:val="00204573"/>
    <w:rsid w:val="0020460A"/>
    <w:rsid w:val="00204D11"/>
    <w:rsid w:val="00205054"/>
    <w:rsid w:val="00205AB2"/>
    <w:rsid w:val="002062F9"/>
    <w:rsid w:val="00206DB3"/>
    <w:rsid w:val="00207B50"/>
    <w:rsid w:val="00207F9B"/>
    <w:rsid w:val="00210289"/>
    <w:rsid w:val="002108F9"/>
    <w:rsid w:val="0021160D"/>
    <w:rsid w:val="002117FF"/>
    <w:rsid w:val="002137FA"/>
    <w:rsid w:val="00214376"/>
    <w:rsid w:val="002147CB"/>
    <w:rsid w:val="00214C57"/>
    <w:rsid w:val="00214DB3"/>
    <w:rsid w:val="002157B9"/>
    <w:rsid w:val="00216109"/>
    <w:rsid w:val="00216394"/>
    <w:rsid w:val="00216B77"/>
    <w:rsid w:val="0022064C"/>
    <w:rsid w:val="00220E1D"/>
    <w:rsid w:val="0022102F"/>
    <w:rsid w:val="0022135D"/>
    <w:rsid w:val="00221C3A"/>
    <w:rsid w:val="00222D83"/>
    <w:rsid w:val="002236D5"/>
    <w:rsid w:val="00224969"/>
    <w:rsid w:val="00225A00"/>
    <w:rsid w:val="00226E78"/>
    <w:rsid w:val="002275C3"/>
    <w:rsid w:val="0023033F"/>
    <w:rsid w:val="0023058B"/>
    <w:rsid w:val="00230610"/>
    <w:rsid w:val="00232D25"/>
    <w:rsid w:val="0023331F"/>
    <w:rsid w:val="002338FD"/>
    <w:rsid w:val="00233961"/>
    <w:rsid w:val="00234122"/>
    <w:rsid w:val="00234F8F"/>
    <w:rsid w:val="00235239"/>
    <w:rsid w:val="00235771"/>
    <w:rsid w:val="00236B76"/>
    <w:rsid w:val="00237574"/>
    <w:rsid w:val="0024013B"/>
    <w:rsid w:val="00240674"/>
    <w:rsid w:val="002407DA"/>
    <w:rsid w:val="0024251C"/>
    <w:rsid w:val="00242D6C"/>
    <w:rsid w:val="00243568"/>
    <w:rsid w:val="00244D80"/>
    <w:rsid w:val="00245D03"/>
    <w:rsid w:val="00247E3D"/>
    <w:rsid w:val="00250710"/>
    <w:rsid w:val="00251AD9"/>
    <w:rsid w:val="00251FF7"/>
    <w:rsid w:val="00252045"/>
    <w:rsid w:val="00252050"/>
    <w:rsid w:val="00252B29"/>
    <w:rsid w:val="0025373C"/>
    <w:rsid w:val="002537D8"/>
    <w:rsid w:val="00254550"/>
    <w:rsid w:val="00254FD8"/>
    <w:rsid w:val="002572CC"/>
    <w:rsid w:val="00257BB4"/>
    <w:rsid w:val="00257CE8"/>
    <w:rsid w:val="0026067D"/>
    <w:rsid w:val="00260DCB"/>
    <w:rsid w:val="00261016"/>
    <w:rsid w:val="002610CE"/>
    <w:rsid w:val="00261FC3"/>
    <w:rsid w:val="00262014"/>
    <w:rsid w:val="00262B6B"/>
    <w:rsid w:val="002630B8"/>
    <w:rsid w:val="0026421E"/>
    <w:rsid w:val="00264693"/>
    <w:rsid w:val="002654C9"/>
    <w:rsid w:val="00265A81"/>
    <w:rsid w:val="0026678F"/>
    <w:rsid w:val="00266868"/>
    <w:rsid w:val="00266AD7"/>
    <w:rsid w:val="002701F3"/>
    <w:rsid w:val="002714E5"/>
    <w:rsid w:val="00272D07"/>
    <w:rsid w:val="00272E8F"/>
    <w:rsid w:val="00273E0E"/>
    <w:rsid w:val="00274FE1"/>
    <w:rsid w:val="00275C61"/>
    <w:rsid w:val="00276706"/>
    <w:rsid w:val="0028021F"/>
    <w:rsid w:val="00280395"/>
    <w:rsid w:val="00280781"/>
    <w:rsid w:val="00280E08"/>
    <w:rsid w:val="00280F6F"/>
    <w:rsid w:val="0028180A"/>
    <w:rsid w:val="00282698"/>
    <w:rsid w:val="0028299F"/>
    <w:rsid w:val="002844D4"/>
    <w:rsid w:val="002845EF"/>
    <w:rsid w:val="00284610"/>
    <w:rsid w:val="00287AFB"/>
    <w:rsid w:val="00290F4C"/>
    <w:rsid w:val="00290FF7"/>
    <w:rsid w:val="002912F9"/>
    <w:rsid w:val="00291F1F"/>
    <w:rsid w:val="00292ED6"/>
    <w:rsid w:val="0029353D"/>
    <w:rsid w:val="00293703"/>
    <w:rsid w:val="00293EDC"/>
    <w:rsid w:val="00294DB1"/>
    <w:rsid w:val="00295167"/>
    <w:rsid w:val="0029661C"/>
    <w:rsid w:val="00296828"/>
    <w:rsid w:val="00296C76"/>
    <w:rsid w:val="0029703A"/>
    <w:rsid w:val="00297412"/>
    <w:rsid w:val="0029747E"/>
    <w:rsid w:val="00297488"/>
    <w:rsid w:val="002A00D9"/>
    <w:rsid w:val="002A033E"/>
    <w:rsid w:val="002A092D"/>
    <w:rsid w:val="002A1523"/>
    <w:rsid w:val="002A1EA2"/>
    <w:rsid w:val="002A237D"/>
    <w:rsid w:val="002A2E55"/>
    <w:rsid w:val="002A2FD6"/>
    <w:rsid w:val="002A30BF"/>
    <w:rsid w:val="002A31E3"/>
    <w:rsid w:val="002A3F0A"/>
    <w:rsid w:val="002A487E"/>
    <w:rsid w:val="002A4912"/>
    <w:rsid w:val="002A5CE2"/>
    <w:rsid w:val="002A6711"/>
    <w:rsid w:val="002A67D4"/>
    <w:rsid w:val="002A6E44"/>
    <w:rsid w:val="002A7A5C"/>
    <w:rsid w:val="002B0910"/>
    <w:rsid w:val="002B173D"/>
    <w:rsid w:val="002B21B3"/>
    <w:rsid w:val="002B2828"/>
    <w:rsid w:val="002B288E"/>
    <w:rsid w:val="002B34CC"/>
    <w:rsid w:val="002B40DD"/>
    <w:rsid w:val="002B4DD5"/>
    <w:rsid w:val="002B5F7B"/>
    <w:rsid w:val="002B7CB9"/>
    <w:rsid w:val="002C16EE"/>
    <w:rsid w:val="002C1848"/>
    <w:rsid w:val="002C3176"/>
    <w:rsid w:val="002C3234"/>
    <w:rsid w:val="002C38F3"/>
    <w:rsid w:val="002C3C50"/>
    <w:rsid w:val="002C4629"/>
    <w:rsid w:val="002C4804"/>
    <w:rsid w:val="002C4876"/>
    <w:rsid w:val="002C4B71"/>
    <w:rsid w:val="002C5CE6"/>
    <w:rsid w:val="002C6435"/>
    <w:rsid w:val="002C6448"/>
    <w:rsid w:val="002C6CA6"/>
    <w:rsid w:val="002C6F3C"/>
    <w:rsid w:val="002C78AD"/>
    <w:rsid w:val="002D0DED"/>
    <w:rsid w:val="002D1C8E"/>
    <w:rsid w:val="002D2ACF"/>
    <w:rsid w:val="002D2CEA"/>
    <w:rsid w:val="002D39C1"/>
    <w:rsid w:val="002D4985"/>
    <w:rsid w:val="002D5FDD"/>
    <w:rsid w:val="002D6EC0"/>
    <w:rsid w:val="002D7ED9"/>
    <w:rsid w:val="002D7FC4"/>
    <w:rsid w:val="002E00FD"/>
    <w:rsid w:val="002E085C"/>
    <w:rsid w:val="002E1B9D"/>
    <w:rsid w:val="002E1E98"/>
    <w:rsid w:val="002E1F07"/>
    <w:rsid w:val="002E2179"/>
    <w:rsid w:val="002E23B7"/>
    <w:rsid w:val="002E276E"/>
    <w:rsid w:val="002E2945"/>
    <w:rsid w:val="002E36B7"/>
    <w:rsid w:val="002E400C"/>
    <w:rsid w:val="002E4AB5"/>
    <w:rsid w:val="002E4E40"/>
    <w:rsid w:val="002E4EAA"/>
    <w:rsid w:val="002E538D"/>
    <w:rsid w:val="002E5A26"/>
    <w:rsid w:val="002E5FF1"/>
    <w:rsid w:val="002E600B"/>
    <w:rsid w:val="002F0867"/>
    <w:rsid w:val="002F1219"/>
    <w:rsid w:val="002F147F"/>
    <w:rsid w:val="002F2A5F"/>
    <w:rsid w:val="002F3371"/>
    <w:rsid w:val="002F340C"/>
    <w:rsid w:val="002F3449"/>
    <w:rsid w:val="002F3A9D"/>
    <w:rsid w:val="002F4997"/>
    <w:rsid w:val="002F7033"/>
    <w:rsid w:val="002F747C"/>
    <w:rsid w:val="002F7E1B"/>
    <w:rsid w:val="0030127D"/>
    <w:rsid w:val="003016A4"/>
    <w:rsid w:val="00301B1A"/>
    <w:rsid w:val="0030289B"/>
    <w:rsid w:val="00302B20"/>
    <w:rsid w:val="00302CBE"/>
    <w:rsid w:val="0030332F"/>
    <w:rsid w:val="003067B0"/>
    <w:rsid w:val="00306B5E"/>
    <w:rsid w:val="00307A44"/>
    <w:rsid w:val="003118A0"/>
    <w:rsid w:val="00311AFC"/>
    <w:rsid w:val="003123E0"/>
    <w:rsid w:val="003125AE"/>
    <w:rsid w:val="0031301B"/>
    <w:rsid w:val="00313DAC"/>
    <w:rsid w:val="00313F0F"/>
    <w:rsid w:val="00313F76"/>
    <w:rsid w:val="00314B42"/>
    <w:rsid w:val="00314B68"/>
    <w:rsid w:val="00314F82"/>
    <w:rsid w:val="0031531C"/>
    <w:rsid w:val="0031552A"/>
    <w:rsid w:val="00316E91"/>
    <w:rsid w:val="003173CB"/>
    <w:rsid w:val="003174E3"/>
    <w:rsid w:val="00317841"/>
    <w:rsid w:val="00317908"/>
    <w:rsid w:val="0032081B"/>
    <w:rsid w:val="00321011"/>
    <w:rsid w:val="003213C3"/>
    <w:rsid w:val="00321423"/>
    <w:rsid w:val="003222C2"/>
    <w:rsid w:val="00322E16"/>
    <w:rsid w:val="003231FB"/>
    <w:rsid w:val="003242E5"/>
    <w:rsid w:val="00324D7F"/>
    <w:rsid w:val="003254A4"/>
    <w:rsid w:val="00326ABA"/>
    <w:rsid w:val="00326E05"/>
    <w:rsid w:val="00327696"/>
    <w:rsid w:val="003277A9"/>
    <w:rsid w:val="003278A9"/>
    <w:rsid w:val="0033130A"/>
    <w:rsid w:val="00331639"/>
    <w:rsid w:val="0033180B"/>
    <w:rsid w:val="00331CEA"/>
    <w:rsid w:val="00331DD1"/>
    <w:rsid w:val="00332018"/>
    <w:rsid w:val="00332316"/>
    <w:rsid w:val="00332736"/>
    <w:rsid w:val="003329F3"/>
    <w:rsid w:val="00332CA9"/>
    <w:rsid w:val="00332E37"/>
    <w:rsid w:val="00333419"/>
    <w:rsid w:val="00333999"/>
    <w:rsid w:val="00333D6B"/>
    <w:rsid w:val="00334C08"/>
    <w:rsid w:val="00335430"/>
    <w:rsid w:val="003358D6"/>
    <w:rsid w:val="00335FBC"/>
    <w:rsid w:val="00336717"/>
    <w:rsid w:val="00340285"/>
    <w:rsid w:val="003406AF"/>
    <w:rsid w:val="00340C19"/>
    <w:rsid w:val="00340C7C"/>
    <w:rsid w:val="00341103"/>
    <w:rsid w:val="00341AAA"/>
    <w:rsid w:val="00342E0E"/>
    <w:rsid w:val="00343B29"/>
    <w:rsid w:val="00343E84"/>
    <w:rsid w:val="00343F7F"/>
    <w:rsid w:val="00344988"/>
    <w:rsid w:val="003449F3"/>
    <w:rsid w:val="00344E39"/>
    <w:rsid w:val="003455EB"/>
    <w:rsid w:val="00345874"/>
    <w:rsid w:val="00346C1A"/>
    <w:rsid w:val="00346FD0"/>
    <w:rsid w:val="00347666"/>
    <w:rsid w:val="003505B3"/>
    <w:rsid w:val="0035195C"/>
    <w:rsid w:val="00351F6D"/>
    <w:rsid w:val="003521BA"/>
    <w:rsid w:val="003522CB"/>
    <w:rsid w:val="00352A4E"/>
    <w:rsid w:val="00352EF8"/>
    <w:rsid w:val="003532C8"/>
    <w:rsid w:val="0035395F"/>
    <w:rsid w:val="00353976"/>
    <w:rsid w:val="003555F5"/>
    <w:rsid w:val="00355B7F"/>
    <w:rsid w:val="0035695C"/>
    <w:rsid w:val="00357583"/>
    <w:rsid w:val="00357704"/>
    <w:rsid w:val="00357E98"/>
    <w:rsid w:val="00360196"/>
    <w:rsid w:val="00360D74"/>
    <w:rsid w:val="00361712"/>
    <w:rsid w:val="00361A7D"/>
    <w:rsid w:val="003647BA"/>
    <w:rsid w:val="00364A90"/>
    <w:rsid w:val="00365049"/>
    <w:rsid w:val="00365A73"/>
    <w:rsid w:val="00365F0F"/>
    <w:rsid w:val="00366E53"/>
    <w:rsid w:val="00370FEF"/>
    <w:rsid w:val="00371A92"/>
    <w:rsid w:val="00371B74"/>
    <w:rsid w:val="00372081"/>
    <w:rsid w:val="003733EF"/>
    <w:rsid w:val="00373789"/>
    <w:rsid w:val="00373D1B"/>
    <w:rsid w:val="003748E3"/>
    <w:rsid w:val="003748E6"/>
    <w:rsid w:val="00375AE8"/>
    <w:rsid w:val="00375DD4"/>
    <w:rsid w:val="00375E17"/>
    <w:rsid w:val="00375EE4"/>
    <w:rsid w:val="00375F76"/>
    <w:rsid w:val="00376175"/>
    <w:rsid w:val="00377539"/>
    <w:rsid w:val="00377716"/>
    <w:rsid w:val="00380C3F"/>
    <w:rsid w:val="00380F9B"/>
    <w:rsid w:val="00381FD5"/>
    <w:rsid w:val="0038217B"/>
    <w:rsid w:val="00382998"/>
    <w:rsid w:val="00383129"/>
    <w:rsid w:val="00383CEC"/>
    <w:rsid w:val="0038458D"/>
    <w:rsid w:val="0038473D"/>
    <w:rsid w:val="003847BE"/>
    <w:rsid w:val="00384F65"/>
    <w:rsid w:val="0038504D"/>
    <w:rsid w:val="0038656E"/>
    <w:rsid w:val="00386591"/>
    <w:rsid w:val="00386F64"/>
    <w:rsid w:val="00387399"/>
    <w:rsid w:val="003878CD"/>
    <w:rsid w:val="00387A36"/>
    <w:rsid w:val="00387EF8"/>
    <w:rsid w:val="003923A6"/>
    <w:rsid w:val="00392491"/>
    <w:rsid w:val="00392C31"/>
    <w:rsid w:val="003947DC"/>
    <w:rsid w:val="00394BC3"/>
    <w:rsid w:val="00395041"/>
    <w:rsid w:val="00396115"/>
    <w:rsid w:val="00396567"/>
    <w:rsid w:val="0039672A"/>
    <w:rsid w:val="00396C8B"/>
    <w:rsid w:val="0039711B"/>
    <w:rsid w:val="00397CBC"/>
    <w:rsid w:val="003A13F7"/>
    <w:rsid w:val="003A1813"/>
    <w:rsid w:val="003A1E82"/>
    <w:rsid w:val="003A30BA"/>
    <w:rsid w:val="003A39BD"/>
    <w:rsid w:val="003A49F9"/>
    <w:rsid w:val="003A5940"/>
    <w:rsid w:val="003A645A"/>
    <w:rsid w:val="003A7888"/>
    <w:rsid w:val="003B0264"/>
    <w:rsid w:val="003B054E"/>
    <w:rsid w:val="003B0604"/>
    <w:rsid w:val="003B0AD5"/>
    <w:rsid w:val="003B1A58"/>
    <w:rsid w:val="003B1D8F"/>
    <w:rsid w:val="003B3BEB"/>
    <w:rsid w:val="003B3CF8"/>
    <w:rsid w:val="003B4CA7"/>
    <w:rsid w:val="003B4DB2"/>
    <w:rsid w:val="003B4E35"/>
    <w:rsid w:val="003B5F8F"/>
    <w:rsid w:val="003B6285"/>
    <w:rsid w:val="003B69DB"/>
    <w:rsid w:val="003B745C"/>
    <w:rsid w:val="003C02F2"/>
    <w:rsid w:val="003C0B03"/>
    <w:rsid w:val="003C17D6"/>
    <w:rsid w:val="003C3573"/>
    <w:rsid w:val="003C4E4E"/>
    <w:rsid w:val="003C4E51"/>
    <w:rsid w:val="003C5BC3"/>
    <w:rsid w:val="003C66F4"/>
    <w:rsid w:val="003C6A2B"/>
    <w:rsid w:val="003C6E9A"/>
    <w:rsid w:val="003C7680"/>
    <w:rsid w:val="003C7E1A"/>
    <w:rsid w:val="003D170A"/>
    <w:rsid w:val="003D206B"/>
    <w:rsid w:val="003D3CD1"/>
    <w:rsid w:val="003D4A13"/>
    <w:rsid w:val="003D5377"/>
    <w:rsid w:val="003D5FBB"/>
    <w:rsid w:val="003D624E"/>
    <w:rsid w:val="003D627E"/>
    <w:rsid w:val="003D676E"/>
    <w:rsid w:val="003D6B5F"/>
    <w:rsid w:val="003D74B0"/>
    <w:rsid w:val="003D7FA6"/>
    <w:rsid w:val="003E02AE"/>
    <w:rsid w:val="003E04D7"/>
    <w:rsid w:val="003E053D"/>
    <w:rsid w:val="003E128E"/>
    <w:rsid w:val="003E1EC7"/>
    <w:rsid w:val="003E21C7"/>
    <w:rsid w:val="003E2AE2"/>
    <w:rsid w:val="003E4ACE"/>
    <w:rsid w:val="003E5079"/>
    <w:rsid w:val="003E5CE0"/>
    <w:rsid w:val="003E6769"/>
    <w:rsid w:val="003E745E"/>
    <w:rsid w:val="003E7E34"/>
    <w:rsid w:val="003F0445"/>
    <w:rsid w:val="003F123C"/>
    <w:rsid w:val="003F12FF"/>
    <w:rsid w:val="003F1379"/>
    <w:rsid w:val="003F1634"/>
    <w:rsid w:val="003F2D13"/>
    <w:rsid w:val="003F2D8B"/>
    <w:rsid w:val="003F3F8D"/>
    <w:rsid w:val="003F46AD"/>
    <w:rsid w:val="003F46E3"/>
    <w:rsid w:val="003F4AD2"/>
    <w:rsid w:val="003F4F32"/>
    <w:rsid w:val="003F539A"/>
    <w:rsid w:val="003F663A"/>
    <w:rsid w:val="003F7DB9"/>
    <w:rsid w:val="004004EF"/>
    <w:rsid w:val="004008FE"/>
    <w:rsid w:val="0040175B"/>
    <w:rsid w:val="00401966"/>
    <w:rsid w:val="00401DAB"/>
    <w:rsid w:val="00401FB8"/>
    <w:rsid w:val="00402B9E"/>
    <w:rsid w:val="00403992"/>
    <w:rsid w:val="00404339"/>
    <w:rsid w:val="004044F6"/>
    <w:rsid w:val="0040469D"/>
    <w:rsid w:val="0040507D"/>
    <w:rsid w:val="004057BB"/>
    <w:rsid w:val="00405852"/>
    <w:rsid w:val="0040664D"/>
    <w:rsid w:val="00407949"/>
    <w:rsid w:val="00407A8B"/>
    <w:rsid w:val="00407C6F"/>
    <w:rsid w:val="00407FDD"/>
    <w:rsid w:val="0041038C"/>
    <w:rsid w:val="00410C70"/>
    <w:rsid w:val="00411319"/>
    <w:rsid w:val="0041195D"/>
    <w:rsid w:val="004135F3"/>
    <w:rsid w:val="00413C29"/>
    <w:rsid w:val="00414433"/>
    <w:rsid w:val="00414B59"/>
    <w:rsid w:val="00415AE0"/>
    <w:rsid w:val="00415D0F"/>
    <w:rsid w:val="00416BB6"/>
    <w:rsid w:val="00416D93"/>
    <w:rsid w:val="004178B7"/>
    <w:rsid w:val="004178FE"/>
    <w:rsid w:val="00420B04"/>
    <w:rsid w:val="00421181"/>
    <w:rsid w:val="0042233A"/>
    <w:rsid w:val="00422C75"/>
    <w:rsid w:val="00422D3D"/>
    <w:rsid w:val="00423B32"/>
    <w:rsid w:val="004240E2"/>
    <w:rsid w:val="004248E4"/>
    <w:rsid w:val="004252EF"/>
    <w:rsid w:val="00425607"/>
    <w:rsid w:val="0042662E"/>
    <w:rsid w:val="0042697B"/>
    <w:rsid w:val="00427A4A"/>
    <w:rsid w:val="0043012A"/>
    <w:rsid w:val="00431270"/>
    <w:rsid w:val="004328FC"/>
    <w:rsid w:val="0043292F"/>
    <w:rsid w:val="00432BEA"/>
    <w:rsid w:val="0043387B"/>
    <w:rsid w:val="00433BA0"/>
    <w:rsid w:val="00433E58"/>
    <w:rsid w:val="00433EB9"/>
    <w:rsid w:val="00435E78"/>
    <w:rsid w:val="00436CE0"/>
    <w:rsid w:val="00437445"/>
    <w:rsid w:val="0044055D"/>
    <w:rsid w:val="0044062A"/>
    <w:rsid w:val="004414C8"/>
    <w:rsid w:val="004415F4"/>
    <w:rsid w:val="00441658"/>
    <w:rsid w:val="00442739"/>
    <w:rsid w:val="00442EB5"/>
    <w:rsid w:val="00442FE2"/>
    <w:rsid w:val="004434AC"/>
    <w:rsid w:val="00443D33"/>
    <w:rsid w:val="00444718"/>
    <w:rsid w:val="00444D1D"/>
    <w:rsid w:val="00444E5B"/>
    <w:rsid w:val="00444F83"/>
    <w:rsid w:val="004452C9"/>
    <w:rsid w:val="004457AF"/>
    <w:rsid w:val="00445D6E"/>
    <w:rsid w:val="004471D2"/>
    <w:rsid w:val="0044773B"/>
    <w:rsid w:val="00447869"/>
    <w:rsid w:val="00447DD8"/>
    <w:rsid w:val="00447FFA"/>
    <w:rsid w:val="00450FE0"/>
    <w:rsid w:val="00453492"/>
    <w:rsid w:val="00453D16"/>
    <w:rsid w:val="00455C16"/>
    <w:rsid w:val="00456B6D"/>
    <w:rsid w:val="00460AEF"/>
    <w:rsid w:val="00460B8E"/>
    <w:rsid w:val="00460E1B"/>
    <w:rsid w:val="00462325"/>
    <w:rsid w:val="004659F5"/>
    <w:rsid w:val="00465DF9"/>
    <w:rsid w:val="00466EF2"/>
    <w:rsid w:val="00467458"/>
    <w:rsid w:val="00467863"/>
    <w:rsid w:val="00471C8D"/>
    <w:rsid w:val="00471D21"/>
    <w:rsid w:val="00472D21"/>
    <w:rsid w:val="004733DC"/>
    <w:rsid w:val="00473451"/>
    <w:rsid w:val="00473973"/>
    <w:rsid w:val="00474180"/>
    <w:rsid w:val="00474CD0"/>
    <w:rsid w:val="00475D17"/>
    <w:rsid w:val="0047705B"/>
    <w:rsid w:val="0047719F"/>
    <w:rsid w:val="0047755C"/>
    <w:rsid w:val="00480AE9"/>
    <w:rsid w:val="00480F65"/>
    <w:rsid w:val="00481EBE"/>
    <w:rsid w:val="0048220B"/>
    <w:rsid w:val="004826FA"/>
    <w:rsid w:val="00482E30"/>
    <w:rsid w:val="004833E3"/>
    <w:rsid w:val="00483D67"/>
    <w:rsid w:val="004842CD"/>
    <w:rsid w:val="004844BA"/>
    <w:rsid w:val="00484D19"/>
    <w:rsid w:val="0048596E"/>
    <w:rsid w:val="00485F67"/>
    <w:rsid w:val="004860DF"/>
    <w:rsid w:val="0048611C"/>
    <w:rsid w:val="00486324"/>
    <w:rsid w:val="004869AA"/>
    <w:rsid w:val="00486CDE"/>
    <w:rsid w:val="00486D1C"/>
    <w:rsid w:val="004870C5"/>
    <w:rsid w:val="00490F88"/>
    <w:rsid w:val="00491915"/>
    <w:rsid w:val="00492A4D"/>
    <w:rsid w:val="00492C00"/>
    <w:rsid w:val="00493D92"/>
    <w:rsid w:val="00493EEF"/>
    <w:rsid w:val="0049577E"/>
    <w:rsid w:val="00495B20"/>
    <w:rsid w:val="00495E58"/>
    <w:rsid w:val="004A09B7"/>
    <w:rsid w:val="004A1271"/>
    <w:rsid w:val="004A1410"/>
    <w:rsid w:val="004A1553"/>
    <w:rsid w:val="004A2F4E"/>
    <w:rsid w:val="004A3040"/>
    <w:rsid w:val="004A356B"/>
    <w:rsid w:val="004A56F4"/>
    <w:rsid w:val="004A5A6C"/>
    <w:rsid w:val="004A5C61"/>
    <w:rsid w:val="004A60C0"/>
    <w:rsid w:val="004A6A20"/>
    <w:rsid w:val="004A779B"/>
    <w:rsid w:val="004B023E"/>
    <w:rsid w:val="004B0441"/>
    <w:rsid w:val="004B0B20"/>
    <w:rsid w:val="004B0C83"/>
    <w:rsid w:val="004B0F39"/>
    <w:rsid w:val="004B1131"/>
    <w:rsid w:val="004B21C1"/>
    <w:rsid w:val="004B24C8"/>
    <w:rsid w:val="004B26D0"/>
    <w:rsid w:val="004B470C"/>
    <w:rsid w:val="004B476A"/>
    <w:rsid w:val="004B4E9C"/>
    <w:rsid w:val="004B55A3"/>
    <w:rsid w:val="004B5EC2"/>
    <w:rsid w:val="004B6CEB"/>
    <w:rsid w:val="004B7360"/>
    <w:rsid w:val="004B792E"/>
    <w:rsid w:val="004C01A4"/>
    <w:rsid w:val="004C0378"/>
    <w:rsid w:val="004C229C"/>
    <w:rsid w:val="004C4360"/>
    <w:rsid w:val="004C49CC"/>
    <w:rsid w:val="004C4F69"/>
    <w:rsid w:val="004C50EF"/>
    <w:rsid w:val="004C5BA1"/>
    <w:rsid w:val="004C6BD1"/>
    <w:rsid w:val="004C6CB1"/>
    <w:rsid w:val="004C6EDE"/>
    <w:rsid w:val="004C74F8"/>
    <w:rsid w:val="004C7F84"/>
    <w:rsid w:val="004D01BD"/>
    <w:rsid w:val="004D075E"/>
    <w:rsid w:val="004D1D15"/>
    <w:rsid w:val="004D2391"/>
    <w:rsid w:val="004D33BD"/>
    <w:rsid w:val="004D3931"/>
    <w:rsid w:val="004D5790"/>
    <w:rsid w:val="004D58A8"/>
    <w:rsid w:val="004D6FE0"/>
    <w:rsid w:val="004D7185"/>
    <w:rsid w:val="004D73E1"/>
    <w:rsid w:val="004E100D"/>
    <w:rsid w:val="004E148B"/>
    <w:rsid w:val="004E2192"/>
    <w:rsid w:val="004E243B"/>
    <w:rsid w:val="004E3137"/>
    <w:rsid w:val="004E3481"/>
    <w:rsid w:val="004E36B5"/>
    <w:rsid w:val="004E39E1"/>
    <w:rsid w:val="004E3C7C"/>
    <w:rsid w:val="004E3DFD"/>
    <w:rsid w:val="004E4705"/>
    <w:rsid w:val="004E4B49"/>
    <w:rsid w:val="004E4C8D"/>
    <w:rsid w:val="004E57CD"/>
    <w:rsid w:val="004E6891"/>
    <w:rsid w:val="004E722B"/>
    <w:rsid w:val="004E7997"/>
    <w:rsid w:val="004E7CBC"/>
    <w:rsid w:val="004F03E6"/>
    <w:rsid w:val="004F06BE"/>
    <w:rsid w:val="004F087F"/>
    <w:rsid w:val="004F174E"/>
    <w:rsid w:val="004F1958"/>
    <w:rsid w:val="004F235D"/>
    <w:rsid w:val="004F3492"/>
    <w:rsid w:val="004F435E"/>
    <w:rsid w:val="004F43D1"/>
    <w:rsid w:val="004F470E"/>
    <w:rsid w:val="004F49BB"/>
    <w:rsid w:val="004F4C62"/>
    <w:rsid w:val="004F4D33"/>
    <w:rsid w:val="004F4D98"/>
    <w:rsid w:val="004F520C"/>
    <w:rsid w:val="004F6179"/>
    <w:rsid w:val="00500C68"/>
    <w:rsid w:val="005012B4"/>
    <w:rsid w:val="00501642"/>
    <w:rsid w:val="005027E1"/>
    <w:rsid w:val="00502945"/>
    <w:rsid w:val="005029B9"/>
    <w:rsid w:val="00502FA9"/>
    <w:rsid w:val="005031D7"/>
    <w:rsid w:val="005034AA"/>
    <w:rsid w:val="00504B92"/>
    <w:rsid w:val="00504F66"/>
    <w:rsid w:val="00505130"/>
    <w:rsid w:val="00505B3B"/>
    <w:rsid w:val="00505CE9"/>
    <w:rsid w:val="00505DCA"/>
    <w:rsid w:val="00507A2F"/>
    <w:rsid w:val="005114E1"/>
    <w:rsid w:val="00511E80"/>
    <w:rsid w:val="0051474E"/>
    <w:rsid w:val="005148AE"/>
    <w:rsid w:val="0051568B"/>
    <w:rsid w:val="00516EAF"/>
    <w:rsid w:val="00517C48"/>
    <w:rsid w:val="00521FFC"/>
    <w:rsid w:val="0052218C"/>
    <w:rsid w:val="00523CAE"/>
    <w:rsid w:val="005247B9"/>
    <w:rsid w:val="00524C5B"/>
    <w:rsid w:val="00525CCF"/>
    <w:rsid w:val="00526963"/>
    <w:rsid w:val="00526B5F"/>
    <w:rsid w:val="00527009"/>
    <w:rsid w:val="00527CBF"/>
    <w:rsid w:val="00530062"/>
    <w:rsid w:val="00530CD5"/>
    <w:rsid w:val="0053194B"/>
    <w:rsid w:val="00531AE8"/>
    <w:rsid w:val="00532ABC"/>
    <w:rsid w:val="005339A5"/>
    <w:rsid w:val="00534DA5"/>
    <w:rsid w:val="00534FF7"/>
    <w:rsid w:val="0053548D"/>
    <w:rsid w:val="005365E7"/>
    <w:rsid w:val="00542033"/>
    <w:rsid w:val="005434B8"/>
    <w:rsid w:val="00544647"/>
    <w:rsid w:val="0054572E"/>
    <w:rsid w:val="0054587B"/>
    <w:rsid w:val="005461B9"/>
    <w:rsid w:val="00551425"/>
    <w:rsid w:val="00551F9F"/>
    <w:rsid w:val="00553310"/>
    <w:rsid w:val="005538DE"/>
    <w:rsid w:val="005546B6"/>
    <w:rsid w:val="00554898"/>
    <w:rsid w:val="00554FFA"/>
    <w:rsid w:val="005568E5"/>
    <w:rsid w:val="00556BEE"/>
    <w:rsid w:val="00560B50"/>
    <w:rsid w:val="0056119B"/>
    <w:rsid w:val="0056156B"/>
    <w:rsid w:val="00561F9D"/>
    <w:rsid w:val="005625D0"/>
    <w:rsid w:val="00563E2C"/>
    <w:rsid w:val="00564411"/>
    <w:rsid w:val="0056483C"/>
    <w:rsid w:val="005663B5"/>
    <w:rsid w:val="005663EB"/>
    <w:rsid w:val="0056659A"/>
    <w:rsid w:val="00567442"/>
    <w:rsid w:val="00570597"/>
    <w:rsid w:val="0057070A"/>
    <w:rsid w:val="00570BE0"/>
    <w:rsid w:val="00571FB8"/>
    <w:rsid w:val="00572113"/>
    <w:rsid w:val="0057219B"/>
    <w:rsid w:val="005735E3"/>
    <w:rsid w:val="00574346"/>
    <w:rsid w:val="005746B4"/>
    <w:rsid w:val="005754A6"/>
    <w:rsid w:val="00576CB6"/>
    <w:rsid w:val="005770D9"/>
    <w:rsid w:val="00577D72"/>
    <w:rsid w:val="00577F70"/>
    <w:rsid w:val="00581310"/>
    <w:rsid w:val="00582153"/>
    <w:rsid w:val="0058232C"/>
    <w:rsid w:val="00582947"/>
    <w:rsid w:val="00583547"/>
    <w:rsid w:val="00584348"/>
    <w:rsid w:val="005853BF"/>
    <w:rsid w:val="00585DCE"/>
    <w:rsid w:val="00586117"/>
    <w:rsid w:val="00586DE0"/>
    <w:rsid w:val="0058791A"/>
    <w:rsid w:val="005879BB"/>
    <w:rsid w:val="00587A37"/>
    <w:rsid w:val="00587D23"/>
    <w:rsid w:val="005910DE"/>
    <w:rsid w:val="0059121D"/>
    <w:rsid w:val="005927B3"/>
    <w:rsid w:val="005932FE"/>
    <w:rsid w:val="005949B5"/>
    <w:rsid w:val="00594C23"/>
    <w:rsid w:val="005957E2"/>
    <w:rsid w:val="00595897"/>
    <w:rsid w:val="005965C7"/>
    <w:rsid w:val="00596B9A"/>
    <w:rsid w:val="00596BB2"/>
    <w:rsid w:val="0059799F"/>
    <w:rsid w:val="00597C86"/>
    <w:rsid w:val="005A0ED4"/>
    <w:rsid w:val="005A347A"/>
    <w:rsid w:val="005A398C"/>
    <w:rsid w:val="005A40C4"/>
    <w:rsid w:val="005A4400"/>
    <w:rsid w:val="005A47A0"/>
    <w:rsid w:val="005A496F"/>
    <w:rsid w:val="005A4F29"/>
    <w:rsid w:val="005A5BE9"/>
    <w:rsid w:val="005A5FB4"/>
    <w:rsid w:val="005A64C7"/>
    <w:rsid w:val="005A6A3D"/>
    <w:rsid w:val="005A6CF9"/>
    <w:rsid w:val="005A6DB8"/>
    <w:rsid w:val="005A6EA8"/>
    <w:rsid w:val="005B28D5"/>
    <w:rsid w:val="005B320A"/>
    <w:rsid w:val="005B3C5F"/>
    <w:rsid w:val="005B4777"/>
    <w:rsid w:val="005B6B98"/>
    <w:rsid w:val="005B7346"/>
    <w:rsid w:val="005C04D3"/>
    <w:rsid w:val="005C05F6"/>
    <w:rsid w:val="005C081D"/>
    <w:rsid w:val="005C1CB2"/>
    <w:rsid w:val="005C21A9"/>
    <w:rsid w:val="005C307D"/>
    <w:rsid w:val="005C3AE9"/>
    <w:rsid w:val="005C45C8"/>
    <w:rsid w:val="005C50C0"/>
    <w:rsid w:val="005C5286"/>
    <w:rsid w:val="005C5407"/>
    <w:rsid w:val="005C59A8"/>
    <w:rsid w:val="005C6EB8"/>
    <w:rsid w:val="005C726C"/>
    <w:rsid w:val="005C7355"/>
    <w:rsid w:val="005D0874"/>
    <w:rsid w:val="005D0E7D"/>
    <w:rsid w:val="005D1285"/>
    <w:rsid w:val="005D188B"/>
    <w:rsid w:val="005D2070"/>
    <w:rsid w:val="005D2C07"/>
    <w:rsid w:val="005D2E2B"/>
    <w:rsid w:val="005D2F95"/>
    <w:rsid w:val="005D32BB"/>
    <w:rsid w:val="005D3A3B"/>
    <w:rsid w:val="005D3E9F"/>
    <w:rsid w:val="005D3FAD"/>
    <w:rsid w:val="005D44C1"/>
    <w:rsid w:val="005D4A2C"/>
    <w:rsid w:val="005D5E75"/>
    <w:rsid w:val="005D5FA7"/>
    <w:rsid w:val="005E1602"/>
    <w:rsid w:val="005E19ED"/>
    <w:rsid w:val="005E1C54"/>
    <w:rsid w:val="005E1FB5"/>
    <w:rsid w:val="005E4050"/>
    <w:rsid w:val="005E4212"/>
    <w:rsid w:val="005E4B1D"/>
    <w:rsid w:val="005E56DB"/>
    <w:rsid w:val="005F00C8"/>
    <w:rsid w:val="005F080D"/>
    <w:rsid w:val="005F091E"/>
    <w:rsid w:val="005F171A"/>
    <w:rsid w:val="005F1A6F"/>
    <w:rsid w:val="005F26F3"/>
    <w:rsid w:val="005F27BA"/>
    <w:rsid w:val="005F3117"/>
    <w:rsid w:val="005F34A7"/>
    <w:rsid w:val="005F3F36"/>
    <w:rsid w:val="005F4046"/>
    <w:rsid w:val="005F50E4"/>
    <w:rsid w:val="005F5C2F"/>
    <w:rsid w:val="005F6310"/>
    <w:rsid w:val="005F63C0"/>
    <w:rsid w:val="005F651E"/>
    <w:rsid w:val="005F6DED"/>
    <w:rsid w:val="005F6E06"/>
    <w:rsid w:val="005F71C5"/>
    <w:rsid w:val="0060059C"/>
    <w:rsid w:val="00600958"/>
    <w:rsid w:val="00601A5E"/>
    <w:rsid w:val="006028B8"/>
    <w:rsid w:val="00603155"/>
    <w:rsid w:val="006037CC"/>
    <w:rsid w:val="0060384D"/>
    <w:rsid w:val="00603F36"/>
    <w:rsid w:val="00604583"/>
    <w:rsid w:val="006053DE"/>
    <w:rsid w:val="006055DA"/>
    <w:rsid w:val="006057B8"/>
    <w:rsid w:val="00605A07"/>
    <w:rsid w:val="00610931"/>
    <w:rsid w:val="00610B15"/>
    <w:rsid w:val="0061242F"/>
    <w:rsid w:val="006125E2"/>
    <w:rsid w:val="00612942"/>
    <w:rsid w:val="00612A34"/>
    <w:rsid w:val="00612DB6"/>
    <w:rsid w:val="00614161"/>
    <w:rsid w:val="00614BBC"/>
    <w:rsid w:val="0061542D"/>
    <w:rsid w:val="00615ACD"/>
    <w:rsid w:val="00615DB5"/>
    <w:rsid w:val="006167C6"/>
    <w:rsid w:val="0061717A"/>
    <w:rsid w:val="006172EF"/>
    <w:rsid w:val="0061753D"/>
    <w:rsid w:val="006176CF"/>
    <w:rsid w:val="00620AE6"/>
    <w:rsid w:val="00621B08"/>
    <w:rsid w:val="00621E5F"/>
    <w:rsid w:val="00625782"/>
    <w:rsid w:val="006259B3"/>
    <w:rsid w:val="00625C09"/>
    <w:rsid w:val="006263AD"/>
    <w:rsid w:val="00626CAF"/>
    <w:rsid w:val="006317B8"/>
    <w:rsid w:val="00631CAA"/>
    <w:rsid w:val="006338DE"/>
    <w:rsid w:val="00633B0D"/>
    <w:rsid w:val="00633C3A"/>
    <w:rsid w:val="00633FA5"/>
    <w:rsid w:val="00635466"/>
    <w:rsid w:val="00635744"/>
    <w:rsid w:val="00635B45"/>
    <w:rsid w:val="00635C5A"/>
    <w:rsid w:val="00635E45"/>
    <w:rsid w:val="00636529"/>
    <w:rsid w:val="00636A3B"/>
    <w:rsid w:val="00637225"/>
    <w:rsid w:val="00640124"/>
    <w:rsid w:val="006403F8"/>
    <w:rsid w:val="006409A2"/>
    <w:rsid w:val="00641D2F"/>
    <w:rsid w:val="00642331"/>
    <w:rsid w:val="00642470"/>
    <w:rsid w:val="00642594"/>
    <w:rsid w:val="006427FB"/>
    <w:rsid w:val="00642853"/>
    <w:rsid w:val="00642902"/>
    <w:rsid w:val="00642EEF"/>
    <w:rsid w:val="00642F5C"/>
    <w:rsid w:val="006433DA"/>
    <w:rsid w:val="0064523B"/>
    <w:rsid w:val="00645B6B"/>
    <w:rsid w:val="006466AF"/>
    <w:rsid w:val="0065078A"/>
    <w:rsid w:val="00650972"/>
    <w:rsid w:val="00650987"/>
    <w:rsid w:val="006509D2"/>
    <w:rsid w:val="0065197F"/>
    <w:rsid w:val="00651A7E"/>
    <w:rsid w:val="0065238B"/>
    <w:rsid w:val="0065298A"/>
    <w:rsid w:val="00654C35"/>
    <w:rsid w:val="00655DCE"/>
    <w:rsid w:val="0065667B"/>
    <w:rsid w:val="0065674E"/>
    <w:rsid w:val="006569A2"/>
    <w:rsid w:val="00656AD8"/>
    <w:rsid w:val="006577C8"/>
    <w:rsid w:val="006578B6"/>
    <w:rsid w:val="006578D2"/>
    <w:rsid w:val="006607B6"/>
    <w:rsid w:val="00661C8E"/>
    <w:rsid w:val="0066265C"/>
    <w:rsid w:val="00662B20"/>
    <w:rsid w:val="006631C3"/>
    <w:rsid w:val="0066395E"/>
    <w:rsid w:val="00663DA1"/>
    <w:rsid w:val="00664018"/>
    <w:rsid w:val="006643A7"/>
    <w:rsid w:val="0066475C"/>
    <w:rsid w:val="00664C39"/>
    <w:rsid w:val="00665C9A"/>
    <w:rsid w:val="00665CB4"/>
    <w:rsid w:val="006669A5"/>
    <w:rsid w:val="006674EE"/>
    <w:rsid w:val="00667601"/>
    <w:rsid w:val="006679FA"/>
    <w:rsid w:val="0067033E"/>
    <w:rsid w:val="00670D05"/>
    <w:rsid w:val="006716FF"/>
    <w:rsid w:val="0067217F"/>
    <w:rsid w:val="00672781"/>
    <w:rsid w:val="006728C1"/>
    <w:rsid w:val="00672919"/>
    <w:rsid w:val="00673065"/>
    <w:rsid w:val="0067436E"/>
    <w:rsid w:val="00675582"/>
    <w:rsid w:val="00675824"/>
    <w:rsid w:val="0067590B"/>
    <w:rsid w:val="00675A61"/>
    <w:rsid w:val="00675D4D"/>
    <w:rsid w:val="00676421"/>
    <w:rsid w:val="00676947"/>
    <w:rsid w:val="00676EFC"/>
    <w:rsid w:val="00677383"/>
    <w:rsid w:val="0067786F"/>
    <w:rsid w:val="006802D3"/>
    <w:rsid w:val="00680672"/>
    <w:rsid w:val="0068088C"/>
    <w:rsid w:val="006819E9"/>
    <w:rsid w:val="00682C0A"/>
    <w:rsid w:val="00683117"/>
    <w:rsid w:val="0068448A"/>
    <w:rsid w:val="00685378"/>
    <w:rsid w:val="006863F8"/>
    <w:rsid w:val="0069043B"/>
    <w:rsid w:val="006906D2"/>
    <w:rsid w:val="006915DE"/>
    <w:rsid w:val="0069166D"/>
    <w:rsid w:val="006916EA"/>
    <w:rsid w:val="0069237D"/>
    <w:rsid w:val="00692EF0"/>
    <w:rsid w:val="0069307E"/>
    <w:rsid w:val="006934FE"/>
    <w:rsid w:val="00694AB3"/>
    <w:rsid w:val="00694B30"/>
    <w:rsid w:val="006954C7"/>
    <w:rsid w:val="006957AC"/>
    <w:rsid w:val="00696EF8"/>
    <w:rsid w:val="0069708A"/>
    <w:rsid w:val="0069794F"/>
    <w:rsid w:val="00697D0B"/>
    <w:rsid w:val="006A0194"/>
    <w:rsid w:val="006A02D0"/>
    <w:rsid w:val="006A08C5"/>
    <w:rsid w:val="006A0D22"/>
    <w:rsid w:val="006A1318"/>
    <w:rsid w:val="006A1999"/>
    <w:rsid w:val="006A306E"/>
    <w:rsid w:val="006A4624"/>
    <w:rsid w:val="006A4807"/>
    <w:rsid w:val="006A4EEB"/>
    <w:rsid w:val="006A533B"/>
    <w:rsid w:val="006A6C67"/>
    <w:rsid w:val="006A6D3D"/>
    <w:rsid w:val="006A714C"/>
    <w:rsid w:val="006A7795"/>
    <w:rsid w:val="006A788B"/>
    <w:rsid w:val="006B17A2"/>
    <w:rsid w:val="006B3965"/>
    <w:rsid w:val="006B3A38"/>
    <w:rsid w:val="006B4A1F"/>
    <w:rsid w:val="006B4D60"/>
    <w:rsid w:val="006B5570"/>
    <w:rsid w:val="006B5AB5"/>
    <w:rsid w:val="006B70CD"/>
    <w:rsid w:val="006B754F"/>
    <w:rsid w:val="006C018E"/>
    <w:rsid w:val="006C0829"/>
    <w:rsid w:val="006C087C"/>
    <w:rsid w:val="006C0D2F"/>
    <w:rsid w:val="006C16A8"/>
    <w:rsid w:val="006C19BF"/>
    <w:rsid w:val="006C1C46"/>
    <w:rsid w:val="006C2917"/>
    <w:rsid w:val="006C31D2"/>
    <w:rsid w:val="006C3E06"/>
    <w:rsid w:val="006C4BDF"/>
    <w:rsid w:val="006C4F9E"/>
    <w:rsid w:val="006C5542"/>
    <w:rsid w:val="006C5783"/>
    <w:rsid w:val="006C59FC"/>
    <w:rsid w:val="006C6184"/>
    <w:rsid w:val="006C7767"/>
    <w:rsid w:val="006C79B3"/>
    <w:rsid w:val="006D1A8F"/>
    <w:rsid w:val="006D1FEF"/>
    <w:rsid w:val="006D271F"/>
    <w:rsid w:val="006D2940"/>
    <w:rsid w:val="006D3314"/>
    <w:rsid w:val="006D382C"/>
    <w:rsid w:val="006D4742"/>
    <w:rsid w:val="006D60E3"/>
    <w:rsid w:val="006D7046"/>
    <w:rsid w:val="006D7603"/>
    <w:rsid w:val="006D79FA"/>
    <w:rsid w:val="006D7E4A"/>
    <w:rsid w:val="006E1425"/>
    <w:rsid w:val="006E1D12"/>
    <w:rsid w:val="006E2699"/>
    <w:rsid w:val="006E436B"/>
    <w:rsid w:val="006E5252"/>
    <w:rsid w:val="006E586F"/>
    <w:rsid w:val="006E6023"/>
    <w:rsid w:val="006E6310"/>
    <w:rsid w:val="006E66FF"/>
    <w:rsid w:val="006E7419"/>
    <w:rsid w:val="006F19DC"/>
    <w:rsid w:val="006F3024"/>
    <w:rsid w:val="006F37DD"/>
    <w:rsid w:val="006F5171"/>
    <w:rsid w:val="006F5CBE"/>
    <w:rsid w:val="006F688F"/>
    <w:rsid w:val="007000C5"/>
    <w:rsid w:val="00700F56"/>
    <w:rsid w:val="007023AE"/>
    <w:rsid w:val="00703C46"/>
    <w:rsid w:val="00704414"/>
    <w:rsid w:val="007044DC"/>
    <w:rsid w:val="0070509E"/>
    <w:rsid w:val="00705905"/>
    <w:rsid w:val="00705DCF"/>
    <w:rsid w:val="00706016"/>
    <w:rsid w:val="00706A51"/>
    <w:rsid w:val="007077D2"/>
    <w:rsid w:val="00707CFD"/>
    <w:rsid w:val="00710CE3"/>
    <w:rsid w:val="0071176D"/>
    <w:rsid w:val="00712258"/>
    <w:rsid w:val="00712E52"/>
    <w:rsid w:val="00713298"/>
    <w:rsid w:val="00713D48"/>
    <w:rsid w:val="00714537"/>
    <w:rsid w:val="007146ED"/>
    <w:rsid w:val="00715934"/>
    <w:rsid w:val="00715B91"/>
    <w:rsid w:val="00715F88"/>
    <w:rsid w:val="00716400"/>
    <w:rsid w:val="00716B15"/>
    <w:rsid w:val="00720664"/>
    <w:rsid w:val="00720E09"/>
    <w:rsid w:val="00721AD4"/>
    <w:rsid w:val="00721D31"/>
    <w:rsid w:val="00721FA8"/>
    <w:rsid w:val="00722183"/>
    <w:rsid w:val="0072352C"/>
    <w:rsid w:val="0072376E"/>
    <w:rsid w:val="00725422"/>
    <w:rsid w:val="00727B20"/>
    <w:rsid w:val="00727D20"/>
    <w:rsid w:val="00727F9A"/>
    <w:rsid w:val="00730938"/>
    <w:rsid w:val="00731EC2"/>
    <w:rsid w:val="00732897"/>
    <w:rsid w:val="00732B40"/>
    <w:rsid w:val="007332E1"/>
    <w:rsid w:val="00736829"/>
    <w:rsid w:val="0073734E"/>
    <w:rsid w:val="00737D22"/>
    <w:rsid w:val="00741FCF"/>
    <w:rsid w:val="00743584"/>
    <w:rsid w:val="00743899"/>
    <w:rsid w:val="00745E48"/>
    <w:rsid w:val="00746A14"/>
    <w:rsid w:val="00747719"/>
    <w:rsid w:val="007521F0"/>
    <w:rsid w:val="007527A2"/>
    <w:rsid w:val="0075282F"/>
    <w:rsid w:val="007539C7"/>
    <w:rsid w:val="00754379"/>
    <w:rsid w:val="00754478"/>
    <w:rsid w:val="007555C9"/>
    <w:rsid w:val="00755FAF"/>
    <w:rsid w:val="00757B61"/>
    <w:rsid w:val="007600EE"/>
    <w:rsid w:val="00761E67"/>
    <w:rsid w:val="007623C9"/>
    <w:rsid w:val="0076446F"/>
    <w:rsid w:val="00765380"/>
    <w:rsid w:val="00765C2E"/>
    <w:rsid w:val="00765E83"/>
    <w:rsid w:val="0076648D"/>
    <w:rsid w:val="0076784B"/>
    <w:rsid w:val="00770A25"/>
    <w:rsid w:val="00770AC7"/>
    <w:rsid w:val="00770C3C"/>
    <w:rsid w:val="00770FC7"/>
    <w:rsid w:val="00771192"/>
    <w:rsid w:val="00771FFB"/>
    <w:rsid w:val="0077211A"/>
    <w:rsid w:val="00773901"/>
    <w:rsid w:val="0077391C"/>
    <w:rsid w:val="00773D88"/>
    <w:rsid w:val="00774B77"/>
    <w:rsid w:val="00774FFD"/>
    <w:rsid w:val="007753A8"/>
    <w:rsid w:val="007754FC"/>
    <w:rsid w:val="0077767A"/>
    <w:rsid w:val="00777C94"/>
    <w:rsid w:val="007805AF"/>
    <w:rsid w:val="00781339"/>
    <w:rsid w:val="00781419"/>
    <w:rsid w:val="00781C35"/>
    <w:rsid w:val="00782269"/>
    <w:rsid w:val="00782E3F"/>
    <w:rsid w:val="007842F7"/>
    <w:rsid w:val="00784F16"/>
    <w:rsid w:val="007853A9"/>
    <w:rsid w:val="00785E48"/>
    <w:rsid w:val="00785FC1"/>
    <w:rsid w:val="00786D84"/>
    <w:rsid w:val="00786DF7"/>
    <w:rsid w:val="007873E6"/>
    <w:rsid w:val="007902FF"/>
    <w:rsid w:val="007907FF"/>
    <w:rsid w:val="00790EE2"/>
    <w:rsid w:val="0079165F"/>
    <w:rsid w:val="0079167F"/>
    <w:rsid w:val="007942AE"/>
    <w:rsid w:val="007942F8"/>
    <w:rsid w:val="00794377"/>
    <w:rsid w:val="00794EC6"/>
    <w:rsid w:val="007961F8"/>
    <w:rsid w:val="00797643"/>
    <w:rsid w:val="00797F7A"/>
    <w:rsid w:val="007A40EC"/>
    <w:rsid w:val="007A43EA"/>
    <w:rsid w:val="007A620B"/>
    <w:rsid w:val="007A6323"/>
    <w:rsid w:val="007A7F87"/>
    <w:rsid w:val="007B0204"/>
    <w:rsid w:val="007B291F"/>
    <w:rsid w:val="007B2CA5"/>
    <w:rsid w:val="007B3019"/>
    <w:rsid w:val="007B301F"/>
    <w:rsid w:val="007B3FBD"/>
    <w:rsid w:val="007B4A11"/>
    <w:rsid w:val="007B503B"/>
    <w:rsid w:val="007B5554"/>
    <w:rsid w:val="007B6C6B"/>
    <w:rsid w:val="007C1044"/>
    <w:rsid w:val="007C1439"/>
    <w:rsid w:val="007C1705"/>
    <w:rsid w:val="007C2159"/>
    <w:rsid w:val="007C232D"/>
    <w:rsid w:val="007C2D75"/>
    <w:rsid w:val="007C2E95"/>
    <w:rsid w:val="007C3FCA"/>
    <w:rsid w:val="007C466A"/>
    <w:rsid w:val="007C4733"/>
    <w:rsid w:val="007C5725"/>
    <w:rsid w:val="007C5B07"/>
    <w:rsid w:val="007C7022"/>
    <w:rsid w:val="007D27B3"/>
    <w:rsid w:val="007D2A49"/>
    <w:rsid w:val="007D371F"/>
    <w:rsid w:val="007D416F"/>
    <w:rsid w:val="007D4907"/>
    <w:rsid w:val="007D54D7"/>
    <w:rsid w:val="007D6D94"/>
    <w:rsid w:val="007D7036"/>
    <w:rsid w:val="007D786C"/>
    <w:rsid w:val="007E0549"/>
    <w:rsid w:val="007E15B9"/>
    <w:rsid w:val="007E2946"/>
    <w:rsid w:val="007E32C2"/>
    <w:rsid w:val="007E4175"/>
    <w:rsid w:val="007E45C8"/>
    <w:rsid w:val="007E5903"/>
    <w:rsid w:val="007E7D7A"/>
    <w:rsid w:val="007F066B"/>
    <w:rsid w:val="007F0D50"/>
    <w:rsid w:val="007F0F66"/>
    <w:rsid w:val="007F267A"/>
    <w:rsid w:val="007F2851"/>
    <w:rsid w:val="007F2E12"/>
    <w:rsid w:val="007F386A"/>
    <w:rsid w:val="007F4272"/>
    <w:rsid w:val="007F4C3B"/>
    <w:rsid w:val="007F5ADB"/>
    <w:rsid w:val="007F62AF"/>
    <w:rsid w:val="007F6506"/>
    <w:rsid w:val="007F6EC7"/>
    <w:rsid w:val="007F7F30"/>
    <w:rsid w:val="00800943"/>
    <w:rsid w:val="008028C6"/>
    <w:rsid w:val="00802FB9"/>
    <w:rsid w:val="0080405C"/>
    <w:rsid w:val="0080471D"/>
    <w:rsid w:val="00805C59"/>
    <w:rsid w:val="00805E10"/>
    <w:rsid w:val="008061F6"/>
    <w:rsid w:val="00806877"/>
    <w:rsid w:val="00807755"/>
    <w:rsid w:val="00807C46"/>
    <w:rsid w:val="008108DC"/>
    <w:rsid w:val="00810ACA"/>
    <w:rsid w:val="00811019"/>
    <w:rsid w:val="00811DAA"/>
    <w:rsid w:val="00812907"/>
    <w:rsid w:val="00813415"/>
    <w:rsid w:val="0081380C"/>
    <w:rsid w:val="0081477A"/>
    <w:rsid w:val="00814BF1"/>
    <w:rsid w:val="008154DD"/>
    <w:rsid w:val="00817B4A"/>
    <w:rsid w:val="0082040F"/>
    <w:rsid w:val="0082070B"/>
    <w:rsid w:val="0082096B"/>
    <w:rsid w:val="00820C73"/>
    <w:rsid w:val="00821CC1"/>
    <w:rsid w:val="00821CC6"/>
    <w:rsid w:val="00821E5A"/>
    <w:rsid w:val="00822D7C"/>
    <w:rsid w:val="008240FC"/>
    <w:rsid w:val="008243F2"/>
    <w:rsid w:val="00825110"/>
    <w:rsid w:val="00825D33"/>
    <w:rsid w:val="0082620B"/>
    <w:rsid w:val="008263AF"/>
    <w:rsid w:val="008274B9"/>
    <w:rsid w:val="00830315"/>
    <w:rsid w:val="00830656"/>
    <w:rsid w:val="00830719"/>
    <w:rsid w:val="008307E2"/>
    <w:rsid w:val="00830EB0"/>
    <w:rsid w:val="00831143"/>
    <w:rsid w:val="00832124"/>
    <w:rsid w:val="00832355"/>
    <w:rsid w:val="0083284D"/>
    <w:rsid w:val="00833AA4"/>
    <w:rsid w:val="0083418C"/>
    <w:rsid w:val="008356D8"/>
    <w:rsid w:val="00835A1C"/>
    <w:rsid w:val="00835F3D"/>
    <w:rsid w:val="008405E2"/>
    <w:rsid w:val="00840E47"/>
    <w:rsid w:val="008415C2"/>
    <w:rsid w:val="00843017"/>
    <w:rsid w:val="008435AE"/>
    <w:rsid w:val="008443FE"/>
    <w:rsid w:val="00844B36"/>
    <w:rsid w:val="0084544C"/>
    <w:rsid w:val="008455CA"/>
    <w:rsid w:val="00845814"/>
    <w:rsid w:val="00845FE7"/>
    <w:rsid w:val="00846593"/>
    <w:rsid w:val="00846B5F"/>
    <w:rsid w:val="00850490"/>
    <w:rsid w:val="008509D5"/>
    <w:rsid w:val="008510EF"/>
    <w:rsid w:val="00853DD5"/>
    <w:rsid w:val="00854C98"/>
    <w:rsid w:val="00854E9E"/>
    <w:rsid w:val="00855714"/>
    <w:rsid w:val="00855DA1"/>
    <w:rsid w:val="00856119"/>
    <w:rsid w:val="0085639F"/>
    <w:rsid w:val="00856F92"/>
    <w:rsid w:val="00857FA4"/>
    <w:rsid w:val="008610E0"/>
    <w:rsid w:val="00861D18"/>
    <w:rsid w:val="00861DDD"/>
    <w:rsid w:val="00862107"/>
    <w:rsid w:val="00862F4C"/>
    <w:rsid w:val="00864942"/>
    <w:rsid w:val="00865171"/>
    <w:rsid w:val="00865B20"/>
    <w:rsid w:val="00866210"/>
    <w:rsid w:val="00866643"/>
    <w:rsid w:val="008668D2"/>
    <w:rsid w:val="0086731C"/>
    <w:rsid w:val="0086739F"/>
    <w:rsid w:val="008702D1"/>
    <w:rsid w:val="0087062B"/>
    <w:rsid w:val="00870E1D"/>
    <w:rsid w:val="00871055"/>
    <w:rsid w:val="008719DE"/>
    <w:rsid w:val="00871A95"/>
    <w:rsid w:val="008724F4"/>
    <w:rsid w:val="0087347B"/>
    <w:rsid w:val="008749EE"/>
    <w:rsid w:val="00874E92"/>
    <w:rsid w:val="00875FC7"/>
    <w:rsid w:val="00876E60"/>
    <w:rsid w:val="00877A9F"/>
    <w:rsid w:val="00880CB7"/>
    <w:rsid w:val="008814B5"/>
    <w:rsid w:val="00883CD8"/>
    <w:rsid w:val="00883EDE"/>
    <w:rsid w:val="00884BCC"/>
    <w:rsid w:val="008862FA"/>
    <w:rsid w:val="0088687E"/>
    <w:rsid w:val="008869B9"/>
    <w:rsid w:val="00886C17"/>
    <w:rsid w:val="00886F68"/>
    <w:rsid w:val="00887331"/>
    <w:rsid w:val="00887EB5"/>
    <w:rsid w:val="00890DF8"/>
    <w:rsid w:val="00892023"/>
    <w:rsid w:val="00893B67"/>
    <w:rsid w:val="00893D99"/>
    <w:rsid w:val="00894FA5"/>
    <w:rsid w:val="008957FC"/>
    <w:rsid w:val="00895997"/>
    <w:rsid w:val="00895BF4"/>
    <w:rsid w:val="00895E15"/>
    <w:rsid w:val="00897DC5"/>
    <w:rsid w:val="008A0CE4"/>
    <w:rsid w:val="008A1543"/>
    <w:rsid w:val="008A1754"/>
    <w:rsid w:val="008A1E32"/>
    <w:rsid w:val="008A2A0A"/>
    <w:rsid w:val="008A5EDF"/>
    <w:rsid w:val="008A61D9"/>
    <w:rsid w:val="008A7B42"/>
    <w:rsid w:val="008A7F33"/>
    <w:rsid w:val="008B0EDD"/>
    <w:rsid w:val="008B18C7"/>
    <w:rsid w:val="008B1F7A"/>
    <w:rsid w:val="008B2EB7"/>
    <w:rsid w:val="008B39E3"/>
    <w:rsid w:val="008B4171"/>
    <w:rsid w:val="008B47C7"/>
    <w:rsid w:val="008B497C"/>
    <w:rsid w:val="008B4FAC"/>
    <w:rsid w:val="008B509B"/>
    <w:rsid w:val="008B6046"/>
    <w:rsid w:val="008B6A03"/>
    <w:rsid w:val="008B6A18"/>
    <w:rsid w:val="008B6C16"/>
    <w:rsid w:val="008C01F7"/>
    <w:rsid w:val="008C0242"/>
    <w:rsid w:val="008C0754"/>
    <w:rsid w:val="008C0852"/>
    <w:rsid w:val="008C1168"/>
    <w:rsid w:val="008C1837"/>
    <w:rsid w:val="008C1A99"/>
    <w:rsid w:val="008C1DE0"/>
    <w:rsid w:val="008C25E9"/>
    <w:rsid w:val="008C27D5"/>
    <w:rsid w:val="008C2B68"/>
    <w:rsid w:val="008C359D"/>
    <w:rsid w:val="008C3EA5"/>
    <w:rsid w:val="008C4E67"/>
    <w:rsid w:val="008C5174"/>
    <w:rsid w:val="008C5C59"/>
    <w:rsid w:val="008C5CE7"/>
    <w:rsid w:val="008C61BB"/>
    <w:rsid w:val="008C7136"/>
    <w:rsid w:val="008D0A61"/>
    <w:rsid w:val="008D13C6"/>
    <w:rsid w:val="008D1636"/>
    <w:rsid w:val="008D17AF"/>
    <w:rsid w:val="008D19C7"/>
    <w:rsid w:val="008D1A23"/>
    <w:rsid w:val="008D1D98"/>
    <w:rsid w:val="008D32E8"/>
    <w:rsid w:val="008D3403"/>
    <w:rsid w:val="008D3BDF"/>
    <w:rsid w:val="008D3C0C"/>
    <w:rsid w:val="008D3CAC"/>
    <w:rsid w:val="008D476E"/>
    <w:rsid w:val="008D4B1C"/>
    <w:rsid w:val="008D5335"/>
    <w:rsid w:val="008D5ABB"/>
    <w:rsid w:val="008E01D0"/>
    <w:rsid w:val="008E07D9"/>
    <w:rsid w:val="008E0E62"/>
    <w:rsid w:val="008E2EB1"/>
    <w:rsid w:val="008E3F7E"/>
    <w:rsid w:val="008E4B55"/>
    <w:rsid w:val="008E6BDD"/>
    <w:rsid w:val="008E7E39"/>
    <w:rsid w:val="008F1421"/>
    <w:rsid w:val="008F1E3B"/>
    <w:rsid w:val="008F1EF5"/>
    <w:rsid w:val="008F24A4"/>
    <w:rsid w:val="008F3000"/>
    <w:rsid w:val="008F3360"/>
    <w:rsid w:val="008F3EB2"/>
    <w:rsid w:val="008F4082"/>
    <w:rsid w:val="008F46EA"/>
    <w:rsid w:val="008F48E1"/>
    <w:rsid w:val="008F674A"/>
    <w:rsid w:val="008F6A7A"/>
    <w:rsid w:val="008F73E2"/>
    <w:rsid w:val="008F75F6"/>
    <w:rsid w:val="00900391"/>
    <w:rsid w:val="00901DEB"/>
    <w:rsid w:val="009021E1"/>
    <w:rsid w:val="009022FE"/>
    <w:rsid w:val="00904337"/>
    <w:rsid w:val="009051E3"/>
    <w:rsid w:val="00905825"/>
    <w:rsid w:val="00907705"/>
    <w:rsid w:val="00907C85"/>
    <w:rsid w:val="00907F0F"/>
    <w:rsid w:val="00911E8A"/>
    <w:rsid w:val="0091236F"/>
    <w:rsid w:val="00912527"/>
    <w:rsid w:val="00913260"/>
    <w:rsid w:val="00913A62"/>
    <w:rsid w:val="00914A30"/>
    <w:rsid w:val="00914FC1"/>
    <w:rsid w:val="009158B5"/>
    <w:rsid w:val="00915970"/>
    <w:rsid w:val="00915C0A"/>
    <w:rsid w:val="009165E7"/>
    <w:rsid w:val="00916F9C"/>
    <w:rsid w:val="00917D0D"/>
    <w:rsid w:val="009206E7"/>
    <w:rsid w:val="0092084C"/>
    <w:rsid w:val="00921E08"/>
    <w:rsid w:val="00922067"/>
    <w:rsid w:val="0092207E"/>
    <w:rsid w:val="00922AE0"/>
    <w:rsid w:val="00923C08"/>
    <w:rsid w:val="009242D0"/>
    <w:rsid w:val="00924AA5"/>
    <w:rsid w:val="00925749"/>
    <w:rsid w:val="009261DA"/>
    <w:rsid w:val="0092634C"/>
    <w:rsid w:val="009264C9"/>
    <w:rsid w:val="0092663A"/>
    <w:rsid w:val="009274F3"/>
    <w:rsid w:val="00927722"/>
    <w:rsid w:val="009279BA"/>
    <w:rsid w:val="00927E0D"/>
    <w:rsid w:val="009303C8"/>
    <w:rsid w:val="00931692"/>
    <w:rsid w:val="00931726"/>
    <w:rsid w:val="0093186D"/>
    <w:rsid w:val="00932376"/>
    <w:rsid w:val="009328DF"/>
    <w:rsid w:val="009339FB"/>
    <w:rsid w:val="00933C46"/>
    <w:rsid w:val="00934568"/>
    <w:rsid w:val="009363DE"/>
    <w:rsid w:val="00936B7E"/>
    <w:rsid w:val="00936F3C"/>
    <w:rsid w:val="00936F65"/>
    <w:rsid w:val="00937075"/>
    <w:rsid w:val="009402DE"/>
    <w:rsid w:val="00940354"/>
    <w:rsid w:val="009403DC"/>
    <w:rsid w:val="009404B9"/>
    <w:rsid w:val="009410E3"/>
    <w:rsid w:val="009412AB"/>
    <w:rsid w:val="00941882"/>
    <w:rsid w:val="009426D5"/>
    <w:rsid w:val="00943DF3"/>
    <w:rsid w:val="0094473A"/>
    <w:rsid w:val="0094492E"/>
    <w:rsid w:val="00946469"/>
    <w:rsid w:val="009507A4"/>
    <w:rsid w:val="00950852"/>
    <w:rsid w:val="0095112E"/>
    <w:rsid w:val="0095119C"/>
    <w:rsid w:val="009517C4"/>
    <w:rsid w:val="009518B6"/>
    <w:rsid w:val="00951997"/>
    <w:rsid w:val="00951A9E"/>
    <w:rsid w:val="009523D6"/>
    <w:rsid w:val="00952DF2"/>
    <w:rsid w:val="0095313A"/>
    <w:rsid w:val="00953C61"/>
    <w:rsid w:val="0095726B"/>
    <w:rsid w:val="009606EE"/>
    <w:rsid w:val="00960AB5"/>
    <w:rsid w:val="00961896"/>
    <w:rsid w:val="00963289"/>
    <w:rsid w:val="009633C2"/>
    <w:rsid w:val="00964653"/>
    <w:rsid w:val="00964A76"/>
    <w:rsid w:val="00964F15"/>
    <w:rsid w:val="00965305"/>
    <w:rsid w:val="009663B4"/>
    <w:rsid w:val="00966CA1"/>
    <w:rsid w:val="00970165"/>
    <w:rsid w:val="0097024D"/>
    <w:rsid w:val="0097057C"/>
    <w:rsid w:val="009717BC"/>
    <w:rsid w:val="00971DBB"/>
    <w:rsid w:val="00973D02"/>
    <w:rsid w:val="009743C7"/>
    <w:rsid w:val="00974BB4"/>
    <w:rsid w:val="00974C79"/>
    <w:rsid w:val="009772F3"/>
    <w:rsid w:val="00977E1A"/>
    <w:rsid w:val="009802F5"/>
    <w:rsid w:val="00980726"/>
    <w:rsid w:val="00980C32"/>
    <w:rsid w:val="00980DB7"/>
    <w:rsid w:val="00981CDC"/>
    <w:rsid w:val="00982AA2"/>
    <w:rsid w:val="00982B0D"/>
    <w:rsid w:val="00983054"/>
    <w:rsid w:val="009830FB"/>
    <w:rsid w:val="0098345E"/>
    <w:rsid w:val="00983C10"/>
    <w:rsid w:val="009845A1"/>
    <w:rsid w:val="00984956"/>
    <w:rsid w:val="00984B4B"/>
    <w:rsid w:val="009853FF"/>
    <w:rsid w:val="009855BD"/>
    <w:rsid w:val="009863B3"/>
    <w:rsid w:val="0098695C"/>
    <w:rsid w:val="00986FC0"/>
    <w:rsid w:val="0098754E"/>
    <w:rsid w:val="009879EB"/>
    <w:rsid w:val="00987C50"/>
    <w:rsid w:val="009905F2"/>
    <w:rsid w:val="00990E7F"/>
    <w:rsid w:val="00991925"/>
    <w:rsid w:val="0099237A"/>
    <w:rsid w:val="00992404"/>
    <w:rsid w:val="0099324D"/>
    <w:rsid w:val="00994A34"/>
    <w:rsid w:val="00994DC2"/>
    <w:rsid w:val="00995C1F"/>
    <w:rsid w:val="0099662B"/>
    <w:rsid w:val="00996DD0"/>
    <w:rsid w:val="009971CD"/>
    <w:rsid w:val="00997669"/>
    <w:rsid w:val="009A0A3A"/>
    <w:rsid w:val="009A1199"/>
    <w:rsid w:val="009A1AA0"/>
    <w:rsid w:val="009A1BA5"/>
    <w:rsid w:val="009A24DC"/>
    <w:rsid w:val="009A24E8"/>
    <w:rsid w:val="009A279E"/>
    <w:rsid w:val="009A2940"/>
    <w:rsid w:val="009A2A61"/>
    <w:rsid w:val="009A2B2A"/>
    <w:rsid w:val="009A2E2B"/>
    <w:rsid w:val="009A36BD"/>
    <w:rsid w:val="009A3AF2"/>
    <w:rsid w:val="009A4B74"/>
    <w:rsid w:val="009A57A0"/>
    <w:rsid w:val="009A60D6"/>
    <w:rsid w:val="009A65C6"/>
    <w:rsid w:val="009A718E"/>
    <w:rsid w:val="009A7593"/>
    <w:rsid w:val="009B033E"/>
    <w:rsid w:val="009B0E9F"/>
    <w:rsid w:val="009B11BE"/>
    <w:rsid w:val="009B13B3"/>
    <w:rsid w:val="009B1670"/>
    <w:rsid w:val="009B1ED2"/>
    <w:rsid w:val="009B2998"/>
    <w:rsid w:val="009B3FFD"/>
    <w:rsid w:val="009B4D7F"/>
    <w:rsid w:val="009B552D"/>
    <w:rsid w:val="009B563A"/>
    <w:rsid w:val="009B56F3"/>
    <w:rsid w:val="009B5978"/>
    <w:rsid w:val="009B613F"/>
    <w:rsid w:val="009B615E"/>
    <w:rsid w:val="009B692F"/>
    <w:rsid w:val="009B73B8"/>
    <w:rsid w:val="009C0C7B"/>
    <w:rsid w:val="009C1792"/>
    <w:rsid w:val="009C2656"/>
    <w:rsid w:val="009C308D"/>
    <w:rsid w:val="009C4E47"/>
    <w:rsid w:val="009C61A5"/>
    <w:rsid w:val="009C6348"/>
    <w:rsid w:val="009C642B"/>
    <w:rsid w:val="009C68A8"/>
    <w:rsid w:val="009C6E46"/>
    <w:rsid w:val="009C7052"/>
    <w:rsid w:val="009C7219"/>
    <w:rsid w:val="009D0BEC"/>
    <w:rsid w:val="009D15F1"/>
    <w:rsid w:val="009D161E"/>
    <w:rsid w:val="009D19A0"/>
    <w:rsid w:val="009D2135"/>
    <w:rsid w:val="009D23A2"/>
    <w:rsid w:val="009D28AF"/>
    <w:rsid w:val="009D3012"/>
    <w:rsid w:val="009D42A2"/>
    <w:rsid w:val="009D47A1"/>
    <w:rsid w:val="009D4B62"/>
    <w:rsid w:val="009D5451"/>
    <w:rsid w:val="009D6E57"/>
    <w:rsid w:val="009D7728"/>
    <w:rsid w:val="009D7AE0"/>
    <w:rsid w:val="009D7D92"/>
    <w:rsid w:val="009E0624"/>
    <w:rsid w:val="009E09A1"/>
    <w:rsid w:val="009E0C36"/>
    <w:rsid w:val="009E1EA7"/>
    <w:rsid w:val="009E205B"/>
    <w:rsid w:val="009E321B"/>
    <w:rsid w:val="009E3E1B"/>
    <w:rsid w:val="009E420D"/>
    <w:rsid w:val="009E42D4"/>
    <w:rsid w:val="009E7B9E"/>
    <w:rsid w:val="009F023E"/>
    <w:rsid w:val="009F033C"/>
    <w:rsid w:val="009F070C"/>
    <w:rsid w:val="009F09D9"/>
    <w:rsid w:val="009F2432"/>
    <w:rsid w:val="009F4169"/>
    <w:rsid w:val="009F5F49"/>
    <w:rsid w:val="009F5F6B"/>
    <w:rsid w:val="009F705C"/>
    <w:rsid w:val="009F7353"/>
    <w:rsid w:val="00A01BD1"/>
    <w:rsid w:val="00A02FEE"/>
    <w:rsid w:val="00A05309"/>
    <w:rsid w:val="00A0543B"/>
    <w:rsid w:val="00A06AB5"/>
    <w:rsid w:val="00A06D72"/>
    <w:rsid w:val="00A07658"/>
    <w:rsid w:val="00A0788D"/>
    <w:rsid w:val="00A079F7"/>
    <w:rsid w:val="00A1026D"/>
    <w:rsid w:val="00A1027D"/>
    <w:rsid w:val="00A10AEC"/>
    <w:rsid w:val="00A11072"/>
    <w:rsid w:val="00A13F5C"/>
    <w:rsid w:val="00A16248"/>
    <w:rsid w:val="00A16776"/>
    <w:rsid w:val="00A169B4"/>
    <w:rsid w:val="00A17B96"/>
    <w:rsid w:val="00A20334"/>
    <w:rsid w:val="00A20388"/>
    <w:rsid w:val="00A203E4"/>
    <w:rsid w:val="00A20425"/>
    <w:rsid w:val="00A20B7F"/>
    <w:rsid w:val="00A211F1"/>
    <w:rsid w:val="00A21511"/>
    <w:rsid w:val="00A2193E"/>
    <w:rsid w:val="00A22101"/>
    <w:rsid w:val="00A227CA"/>
    <w:rsid w:val="00A23366"/>
    <w:rsid w:val="00A23488"/>
    <w:rsid w:val="00A2355C"/>
    <w:rsid w:val="00A242CD"/>
    <w:rsid w:val="00A242DA"/>
    <w:rsid w:val="00A247A8"/>
    <w:rsid w:val="00A25029"/>
    <w:rsid w:val="00A25390"/>
    <w:rsid w:val="00A264E6"/>
    <w:rsid w:val="00A26556"/>
    <w:rsid w:val="00A26599"/>
    <w:rsid w:val="00A26DFD"/>
    <w:rsid w:val="00A26FF0"/>
    <w:rsid w:val="00A30455"/>
    <w:rsid w:val="00A30A30"/>
    <w:rsid w:val="00A30B0E"/>
    <w:rsid w:val="00A31FD5"/>
    <w:rsid w:val="00A337BF"/>
    <w:rsid w:val="00A339DA"/>
    <w:rsid w:val="00A33F83"/>
    <w:rsid w:val="00A3421E"/>
    <w:rsid w:val="00A35945"/>
    <w:rsid w:val="00A3662A"/>
    <w:rsid w:val="00A36B43"/>
    <w:rsid w:val="00A37ECA"/>
    <w:rsid w:val="00A40377"/>
    <w:rsid w:val="00A415C0"/>
    <w:rsid w:val="00A421F0"/>
    <w:rsid w:val="00A44845"/>
    <w:rsid w:val="00A449C9"/>
    <w:rsid w:val="00A44E3F"/>
    <w:rsid w:val="00A4789B"/>
    <w:rsid w:val="00A47AEA"/>
    <w:rsid w:val="00A47F24"/>
    <w:rsid w:val="00A51A3B"/>
    <w:rsid w:val="00A5222A"/>
    <w:rsid w:val="00A52809"/>
    <w:rsid w:val="00A52CD9"/>
    <w:rsid w:val="00A5522C"/>
    <w:rsid w:val="00A5658F"/>
    <w:rsid w:val="00A569A1"/>
    <w:rsid w:val="00A57BC6"/>
    <w:rsid w:val="00A57C88"/>
    <w:rsid w:val="00A6057A"/>
    <w:rsid w:val="00A60901"/>
    <w:rsid w:val="00A61C65"/>
    <w:rsid w:val="00A62967"/>
    <w:rsid w:val="00A62AC8"/>
    <w:rsid w:val="00A62E9A"/>
    <w:rsid w:val="00A64248"/>
    <w:rsid w:val="00A64272"/>
    <w:rsid w:val="00A6477D"/>
    <w:rsid w:val="00A656C8"/>
    <w:rsid w:val="00A65C17"/>
    <w:rsid w:val="00A65EC4"/>
    <w:rsid w:val="00A6620D"/>
    <w:rsid w:val="00A67477"/>
    <w:rsid w:val="00A67A99"/>
    <w:rsid w:val="00A702FE"/>
    <w:rsid w:val="00A715E9"/>
    <w:rsid w:val="00A718A5"/>
    <w:rsid w:val="00A72866"/>
    <w:rsid w:val="00A729AE"/>
    <w:rsid w:val="00A73EB0"/>
    <w:rsid w:val="00A740AA"/>
    <w:rsid w:val="00A7411A"/>
    <w:rsid w:val="00A74B13"/>
    <w:rsid w:val="00A76644"/>
    <w:rsid w:val="00A76A1F"/>
    <w:rsid w:val="00A77020"/>
    <w:rsid w:val="00A7781B"/>
    <w:rsid w:val="00A7791B"/>
    <w:rsid w:val="00A8029A"/>
    <w:rsid w:val="00A80CC8"/>
    <w:rsid w:val="00A81D58"/>
    <w:rsid w:val="00A8292D"/>
    <w:rsid w:val="00A8300A"/>
    <w:rsid w:val="00A83DD9"/>
    <w:rsid w:val="00A84CE3"/>
    <w:rsid w:val="00A859E8"/>
    <w:rsid w:val="00A86026"/>
    <w:rsid w:val="00A87F5E"/>
    <w:rsid w:val="00A903BB"/>
    <w:rsid w:val="00A9054E"/>
    <w:rsid w:val="00A910D1"/>
    <w:rsid w:val="00A92A55"/>
    <w:rsid w:val="00A92D4C"/>
    <w:rsid w:val="00A93F70"/>
    <w:rsid w:val="00A94483"/>
    <w:rsid w:val="00A9644B"/>
    <w:rsid w:val="00A964C6"/>
    <w:rsid w:val="00A96955"/>
    <w:rsid w:val="00A96AF7"/>
    <w:rsid w:val="00A9716C"/>
    <w:rsid w:val="00AA1ECE"/>
    <w:rsid w:val="00AA2AEE"/>
    <w:rsid w:val="00AA352F"/>
    <w:rsid w:val="00AA40E6"/>
    <w:rsid w:val="00AA4492"/>
    <w:rsid w:val="00AA46A2"/>
    <w:rsid w:val="00AA47F8"/>
    <w:rsid w:val="00AA77F2"/>
    <w:rsid w:val="00AB0520"/>
    <w:rsid w:val="00AB2667"/>
    <w:rsid w:val="00AB76E9"/>
    <w:rsid w:val="00AC13A0"/>
    <w:rsid w:val="00AC1507"/>
    <w:rsid w:val="00AC2A4E"/>
    <w:rsid w:val="00AC374A"/>
    <w:rsid w:val="00AC3CF2"/>
    <w:rsid w:val="00AC3F4B"/>
    <w:rsid w:val="00AC4F3C"/>
    <w:rsid w:val="00AC68E8"/>
    <w:rsid w:val="00AC7540"/>
    <w:rsid w:val="00AD12F8"/>
    <w:rsid w:val="00AD1BB7"/>
    <w:rsid w:val="00AD3D4F"/>
    <w:rsid w:val="00AD415A"/>
    <w:rsid w:val="00AD46AC"/>
    <w:rsid w:val="00AD7593"/>
    <w:rsid w:val="00AD777E"/>
    <w:rsid w:val="00AE2D7B"/>
    <w:rsid w:val="00AE31D9"/>
    <w:rsid w:val="00AE4F74"/>
    <w:rsid w:val="00AE5EE0"/>
    <w:rsid w:val="00AE6286"/>
    <w:rsid w:val="00AE64FE"/>
    <w:rsid w:val="00AE6705"/>
    <w:rsid w:val="00AE7491"/>
    <w:rsid w:val="00AE75D1"/>
    <w:rsid w:val="00AE769D"/>
    <w:rsid w:val="00AF0239"/>
    <w:rsid w:val="00AF12CC"/>
    <w:rsid w:val="00AF17EF"/>
    <w:rsid w:val="00AF1D51"/>
    <w:rsid w:val="00AF2FA0"/>
    <w:rsid w:val="00AF356B"/>
    <w:rsid w:val="00AF3727"/>
    <w:rsid w:val="00AF4862"/>
    <w:rsid w:val="00AF4AB7"/>
    <w:rsid w:val="00AF53E6"/>
    <w:rsid w:val="00AF5C45"/>
    <w:rsid w:val="00AF5CDE"/>
    <w:rsid w:val="00AF5D84"/>
    <w:rsid w:val="00AF614A"/>
    <w:rsid w:val="00AF77DF"/>
    <w:rsid w:val="00B0001F"/>
    <w:rsid w:val="00B00A5E"/>
    <w:rsid w:val="00B00FAB"/>
    <w:rsid w:val="00B02DAA"/>
    <w:rsid w:val="00B0334C"/>
    <w:rsid w:val="00B04283"/>
    <w:rsid w:val="00B04698"/>
    <w:rsid w:val="00B06A10"/>
    <w:rsid w:val="00B07EF2"/>
    <w:rsid w:val="00B10543"/>
    <w:rsid w:val="00B114B3"/>
    <w:rsid w:val="00B11656"/>
    <w:rsid w:val="00B11BE3"/>
    <w:rsid w:val="00B11F12"/>
    <w:rsid w:val="00B129FB"/>
    <w:rsid w:val="00B12C52"/>
    <w:rsid w:val="00B13426"/>
    <w:rsid w:val="00B135D5"/>
    <w:rsid w:val="00B138BC"/>
    <w:rsid w:val="00B13F2C"/>
    <w:rsid w:val="00B1443A"/>
    <w:rsid w:val="00B15F12"/>
    <w:rsid w:val="00B160CE"/>
    <w:rsid w:val="00B20996"/>
    <w:rsid w:val="00B212E2"/>
    <w:rsid w:val="00B22B51"/>
    <w:rsid w:val="00B234AF"/>
    <w:rsid w:val="00B24EE0"/>
    <w:rsid w:val="00B25037"/>
    <w:rsid w:val="00B267B1"/>
    <w:rsid w:val="00B270C4"/>
    <w:rsid w:val="00B27594"/>
    <w:rsid w:val="00B27DDF"/>
    <w:rsid w:val="00B30E5B"/>
    <w:rsid w:val="00B31CF8"/>
    <w:rsid w:val="00B3268C"/>
    <w:rsid w:val="00B326B7"/>
    <w:rsid w:val="00B328C7"/>
    <w:rsid w:val="00B33BC1"/>
    <w:rsid w:val="00B33F12"/>
    <w:rsid w:val="00B35036"/>
    <w:rsid w:val="00B366EB"/>
    <w:rsid w:val="00B367A6"/>
    <w:rsid w:val="00B367F1"/>
    <w:rsid w:val="00B37BE9"/>
    <w:rsid w:val="00B37DE8"/>
    <w:rsid w:val="00B37ED1"/>
    <w:rsid w:val="00B40973"/>
    <w:rsid w:val="00B42136"/>
    <w:rsid w:val="00B4307E"/>
    <w:rsid w:val="00B431D1"/>
    <w:rsid w:val="00B434BD"/>
    <w:rsid w:val="00B43A64"/>
    <w:rsid w:val="00B43DB5"/>
    <w:rsid w:val="00B4442B"/>
    <w:rsid w:val="00B44B8C"/>
    <w:rsid w:val="00B45D4E"/>
    <w:rsid w:val="00B472BE"/>
    <w:rsid w:val="00B47742"/>
    <w:rsid w:val="00B47D7A"/>
    <w:rsid w:val="00B50568"/>
    <w:rsid w:val="00B512F1"/>
    <w:rsid w:val="00B524E2"/>
    <w:rsid w:val="00B531B0"/>
    <w:rsid w:val="00B53209"/>
    <w:rsid w:val="00B55331"/>
    <w:rsid w:val="00B55D11"/>
    <w:rsid w:val="00B55F92"/>
    <w:rsid w:val="00B5611C"/>
    <w:rsid w:val="00B57620"/>
    <w:rsid w:val="00B60252"/>
    <w:rsid w:val="00B61A68"/>
    <w:rsid w:val="00B622BD"/>
    <w:rsid w:val="00B64F2A"/>
    <w:rsid w:val="00B64FDD"/>
    <w:rsid w:val="00B65130"/>
    <w:rsid w:val="00B65CD2"/>
    <w:rsid w:val="00B66176"/>
    <w:rsid w:val="00B66653"/>
    <w:rsid w:val="00B67153"/>
    <w:rsid w:val="00B67935"/>
    <w:rsid w:val="00B67D5D"/>
    <w:rsid w:val="00B70A25"/>
    <w:rsid w:val="00B727C5"/>
    <w:rsid w:val="00B74F67"/>
    <w:rsid w:val="00B74FBF"/>
    <w:rsid w:val="00B77542"/>
    <w:rsid w:val="00B7784C"/>
    <w:rsid w:val="00B801BF"/>
    <w:rsid w:val="00B80800"/>
    <w:rsid w:val="00B80A1C"/>
    <w:rsid w:val="00B81454"/>
    <w:rsid w:val="00B8152D"/>
    <w:rsid w:val="00B82F5E"/>
    <w:rsid w:val="00B83190"/>
    <w:rsid w:val="00B859F7"/>
    <w:rsid w:val="00B85A15"/>
    <w:rsid w:val="00B86082"/>
    <w:rsid w:val="00B87040"/>
    <w:rsid w:val="00B8783B"/>
    <w:rsid w:val="00B87A19"/>
    <w:rsid w:val="00B93BCC"/>
    <w:rsid w:val="00B93FDD"/>
    <w:rsid w:val="00B94450"/>
    <w:rsid w:val="00B94554"/>
    <w:rsid w:val="00B948B0"/>
    <w:rsid w:val="00B948F2"/>
    <w:rsid w:val="00B955DC"/>
    <w:rsid w:val="00B9596E"/>
    <w:rsid w:val="00B95A6E"/>
    <w:rsid w:val="00B96435"/>
    <w:rsid w:val="00B96B6C"/>
    <w:rsid w:val="00B97015"/>
    <w:rsid w:val="00B97598"/>
    <w:rsid w:val="00B97AEE"/>
    <w:rsid w:val="00BA18C5"/>
    <w:rsid w:val="00BA1DCD"/>
    <w:rsid w:val="00BA4722"/>
    <w:rsid w:val="00BA4956"/>
    <w:rsid w:val="00BA4B39"/>
    <w:rsid w:val="00BA6923"/>
    <w:rsid w:val="00BA6EE9"/>
    <w:rsid w:val="00BB047D"/>
    <w:rsid w:val="00BB0615"/>
    <w:rsid w:val="00BB0E99"/>
    <w:rsid w:val="00BB224F"/>
    <w:rsid w:val="00BB3228"/>
    <w:rsid w:val="00BB3306"/>
    <w:rsid w:val="00BB33E5"/>
    <w:rsid w:val="00BB395A"/>
    <w:rsid w:val="00BB506D"/>
    <w:rsid w:val="00BB55EB"/>
    <w:rsid w:val="00BB5CA1"/>
    <w:rsid w:val="00BC000D"/>
    <w:rsid w:val="00BC0624"/>
    <w:rsid w:val="00BC0919"/>
    <w:rsid w:val="00BC12FE"/>
    <w:rsid w:val="00BC132D"/>
    <w:rsid w:val="00BC1764"/>
    <w:rsid w:val="00BC207F"/>
    <w:rsid w:val="00BC2618"/>
    <w:rsid w:val="00BC2F40"/>
    <w:rsid w:val="00BC3694"/>
    <w:rsid w:val="00BC56E1"/>
    <w:rsid w:val="00BC6A36"/>
    <w:rsid w:val="00BD0017"/>
    <w:rsid w:val="00BD0124"/>
    <w:rsid w:val="00BD1170"/>
    <w:rsid w:val="00BD31AF"/>
    <w:rsid w:val="00BD3F37"/>
    <w:rsid w:val="00BD4085"/>
    <w:rsid w:val="00BD4094"/>
    <w:rsid w:val="00BD4EC3"/>
    <w:rsid w:val="00BD6BC8"/>
    <w:rsid w:val="00BD6CE3"/>
    <w:rsid w:val="00BD6F20"/>
    <w:rsid w:val="00BD77CD"/>
    <w:rsid w:val="00BD7C07"/>
    <w:rsid w:val="00BE1B6F"/>
    <w:rsid w:val="00BE3DD6"/>
    <w:rsid w:val="00BE3FB1"/>
    <w:rsid w:val="00BE436C"/>
    <w:rsid w:val="00BE4B62"/>
    <w:rsid w:val="00BE501C"/>
    <w:rsid w:val="00BE5A0E"/>
    <w:rsid w:val="00BF0A91"/>
    <w:rsid w:val="00BF2420"/>
    <w:rsid w:val="00BF2728"/>
    <w:rsid w:val="00BF2A60"/>
    <w:rsid w:val="00BF2CF6"/>
    <w:rsid w:val="00BF365F"/>
    <w:rsid w:val="00BF3BA2"/>
    <w:rsid w:val="00BF5CCF"/>
    <w:rsid w:val="00BF79A3"/>
    <w:rsid w:val="00C0055A"/>
    <w:rsid w:val="00C02413"/>
    <w:rsid w:val="00C036DC"/>
    <w:rsid w:val="00C03AE2"/>
    <w:rsid w:val="00C064D3"/>
    <w:rsid w:val="00C07019"/>
    <w:rsid w:val="00C07316"/>
    <w:rsid w:val="00C07960"/>
    <w:rsid w:val="00C07E22"/>
    <w:rsid w:val="00C10D83"/>
    <w:rsid w:val="00C11AC3"/>
    <w:rsid w:val="00C127AA"/>
    <w:rsid w:val="00C12822"/>
    <w:rsid w:val="00C138B1"/>
    <w:rsid w:val="00C147CF"/>
    <w:rsid w:val="00C14A7A"/>
    <w:rsid w:val="00C14B1D"/>
    <w:rsid w:val="00C1522C"/>
    <w:rsid w:val="00C16816"/>
    <w:rsid w:val="00C1768E"/>
    <w:rsid w:val="00C17FDB"/>
    <w:rsid w:val="00C206DB"/>
    <w:rsid w:val="00C213AE"/>
    <w:rsid w:val="00C21AE0"/>
    <w:rsid w:val="00C21CBF"/>
    <w:rsid w:val="00C222D1"/>
    <w:rsid w:val="00C22C02"/>
    <w:rsid w:val="00C2303C"/>
    <w:rsid w:val="00C2384F"/>
    <w:rsid w:val="00C238FD"/>
    <w:rsid w:val="00C23D91"/>
    <w:rsid w:val="00C2439F"/>
    <w:rsid w:val="00C243D2"/>
    <w:rsid w:val="00C251DE"/>
    <w:rsid w:val="00C26FA8"/>
    <w:rsid w:val="00C2713B"/>
    <w:rsid w:val="00C300B6"/>
    <w:rsid w:val="00C30792"/>
    <w:rsid w:val="00C30E10"/>
    <w:rsid w:val="00C31337"/>
    <w:rsid w:val="00C31A69"/>
    <w:rsid w:val="00C31E7C"/>
    <w:rsid w:val="00C33C77"/>
    <w:rsid w:val="00C33E23"/>
    <w:rsid w:val="00C3500C"/>
    <w:rsid w:val="00C35EF7"/>
    <w:rsid w:val="00C3679F"/>
    <w:rsid w:val="00C369FE"/>
    <w:rsid w:val="00C36B87"/>
    <w:rsid w:val="00C41FCB"/>
    <w:rsid w:val="00C42F25"/>
    <w:rsid w:val="00C43E5E"/>
    <w:rsid w:val="00C43FED"/>
    <w:rsid w:val="00C44739"/>
    <w:rsid w:val="00C4483B"/>
    <w:rsid w:val="00C45E71"/>
    <w:rsid w:val="00C45F61"/>
    <w:rsid w:val="00C46612"/>
    <w:rsid w:val="00C47381"/>
    <w:rsid w:val="00C475E2"/>
    <w:rsid w:val="00C501C3"/>
    <w:rsid w:val="00C526A2"/>
    <w:rsid w:val="00C53B91"/>
    <w:rsid w:val="00C54890"/>
    <w:rsid w:val="00C54BC2"/>
    <w:rsid w:val="00C54CEF"/>
    <w:rsid w:val="00C54FD0"/>
    <w:rsid w:val="00C5530C"/>
    <w:rsid w:val="00C5562C"/>
    <w:rsid w:val="00C55F1B"/>
    <w:rsid w:val="00C56821"/>
    <w:rsid w:val="00C56D20"/>
    <w:rsid w:val="00C57714"/>
    <w:rsid w:val="00C57CAB"/>
    <w:rsid w:val="00C57D55"/>
    <w:rsid w:val="00C6095B"/>
    <w:rsid w:val="00C61BAD"/>
    <w:rsid w:val="00C61E38"/>
    <w:rsid w:val="00C625BB"/>
    <w:rsid w:val="00C64843"/>
    <w:rsid w:val="00C655C4"/>
    <w:rsid w:val="00C663EB"/>
    <w:rsid w:val="00C66BF5"/>
    <w:rsid w:val="00C67064"/>
    <w:rsid w:val="00C70621"/>
    <w:rsid w:val="00C709C8"/>
    <w:rsid w:val="00C70F8B"/>
    <w:rsid w:val="00C713B3"/>
    <w:rsid w:val="00C71D00"/>
    <w:rsid w:val="00C720F8"/>
    <w:rsid w:val="00C72E31"/>
    <w:rsid w:val="00C76272"/>
    <w:rsid w:val="00C76D07"/>
    <w:rsid w:val="00C77486"/>
    <w:rsid w:val="00C77504"/>
    <w:rsid w:val="00C80DEE"/>
    <w:rsid w:val="00C81133"/>
    <w:rsid w:val="00C81351"/>
    <w:rsid w:val="00C81C1E"/>
    <w:rsid w:val="00C82552"/>
    <w:rsid w:val="00C83116"/>
    <w:rsid w:val="00C83561"/>
    <w:rsid w:val="00C83D1A"/>
    <w:rsid w:val="00C83E98"/>
    <w:rsid w:val="00C84105"/>
    <w:rsid w:val="00C85C66"/>
    <w:rsid w:val="00C86149"/>
    <w:rsid w:val="00C8707D"/>
    <w:rsid w:val="00C87EA1"/>
    <w:rsid w:val="00C900A4"/>
    <w:rsid w:val="00C90BC6"/>
    <w:rsid w:val="00C90BE9"/>
    <w:rsid w:val="00C91089"/>
    <w:rsid w:val="00C911D9"/>
    <w:rsid w:val="00C912C3"/>
    <w:rsid w:val="00C91623"/>
    <w:rsid w:val="00C920A5"/>
    <w:rsid w:val="00C93DEE"/>
    <w:rsid w:val="00C94574"/>
    <w:rsid w:val="00C94BAD"/>
    <w:rsid w:val="00C9537B"/>
    <w:rsid w:val="00C95410"/>
    <w:rsid w:val="00C97047"/>
    <w:rsid w:val="00C97CB2"/>
    <w:rsid w:val="00CA068F"/>
    <w:rsid w:val="00CA11AF"/>
    <w:rsid w:val="00CA1734"/>
    <w:rsid w:val="00CA225B"/>
    <w:rsid w:val="00CA31C2"/>
    <w:rsid w:val="00CA3E83"/>
    <w:rsid w:val="00CA3E88"/>
    <w:rsid w:val="00CA4C0B"/>
    <w:rsid w:val="00CA4D52"/>
    <w:rsid w:val="00CA6C4D"/>
    <w:rsid w:val="00CA71EA"/>
    <w:rsid w:val="00CA75DB"/>
    <w:rsid w:val="00CA77F1"/>
    <w:rsid w:val="00CA78C6"/>
    <w:rsid w:val="00CB01AA"/>
    <w:rsid w:val="00CB09B3"/>
    <w:rsid w:val="00CB0DC5"/>
    <w:rsid w:val="00CB1875"/>
    <w:rsid w:val="00CB1BD0"/>
    <w:rsid w:val="00CB34C1"/>
    <w:rsid w:val="00CB3634"/>
    <w:rsid w:val="00CB442C"/>
    <w:rsid w:val="00CB5D28"/>
    <w:rsid w:val="00CB74CC"/>
    <w:rsid w:val="00CB7702"/>
    <w:rsid w:val="00CB77DB"/>
    <w:rsid w:val="00CC03F5"/>
    <w:rsid w:val="00CC057F"/>
    <w:rsid w:val="00CC0664"/>
    <w:rsid w:val="00CC08AD"/>
    <w:rsid w:val="00CC0C30"/>
    <w:rsid w:val="00CC0D0E"/>
    <w:rsid w:val="00CC1817"/>
    <w:rsid w:val="00CC1CAB"/>
    <w:rsid w:val="00CC28B8"/>
    <w:rsid w:val="00CC28F7"/>
    <w:rsid w:val="00CC2B75"/>
    <w:rsid w:val="00CC38C5"/>
    <w:rsid w:val="00CC3D44"/>
    <w:rsid w:val="00CC41AA"/>
    <w:rsid w:val="00CC4BC5"/>
    <w:rsid w:val="00CC4C6D"/>
    <w:rsid w:val="00CC4FA5"/>
    <w:rsid w:val="00CC6058"/>
    <w:rsid w:val="00CC644D"/>
    <w:rsid w:val="00CC691C"/>
    <w:rsid w:val="00CC7FD8"/>
    <w:rsid w:val="00CD0E15"/>
    <w:rsid w:val="00CD15D4"/>
    <w:rsid w:val="00CD1719"/>
    <w:rsid w:val="00CD232A"/>
    <w:rsid w:val="00CD35DE"/>
    <w:rsid w:val="00CD4368"/>
    <w:rsid w:val="00CD6080"/>
    <w:rsid w:val="00CD63DF"/>
    <w:rsid w:val="00CD6527"/>
    <w:rsid w:val="00CD6B9B"/>
    <w:rsid w:val="00CD7FFC"/>
    <w:rsid w:val="00CE0963"/>
    <w:rsid w:val="00CE0C41"/>
    <w:rsid w:val="00CE1C13"/>
    <w:rsid w:val="00CE24D2"/>
    <w:rsid w:val="00CE24F2"/>
    <w:rsid w:val="00CE2C12"/>
    <w:rsid w:val="00CE3222"/>
    <w:rsid w:val="00CE4219"/>
    <w:rsid w:val="00CE4946"/>
    <w:rsid w:val="00CE6C58"/>
    <w:rsid w:val="00CE6FB8"/>
    <w:rsid w:val="00CE7D6E"/>
    <w:rsid w:val="00CF11B5"/>
    <w:rsid w:val="00CF1648"/>
    <w:rsid w:val="00CF164A"/>
    <w:rsid w:val="00CF1DB8"/>
    <w:rsid w:val="00CF5908"/>
    <w:rsid w:val="00D0006C"/>
    <w:rsid w:val="00D003CF"/>
    <w:rsid w:val="00D00BB8"/>
    <w:rsid w:val="00D010C1"/>
    <w:rsid w:val="00D010F2"/>
    <w:rsid w:val="00D01674"/>
    <w:rsid w:val="00D01D36"/>
    <w:rsid w:val="00D030BF"/>
    <w:rsid w:val="00D039AE"/>
    <w:rsid w:val="00D03AC0"/>
    <w:rsid w:val="00D0468B"/>
    <w:rsid w:val="00D05BC6"/>
    <w:rsid w:val="00D06AA2"/>
    <w:rsid w:val="00D106E7"/>
    <w:rsid w:val="00D109A3"/>
    <w:rsid w:val="00D111E6"/>
    <w:rsid w:val="00D1268A"/>
    <w:rsid w:val="00D12B98"/>
    <w:rsid w:val="00D13E0F"/>
    <w:rsid w:val="00D13F0C"/>
    <w:rsid w:val="00D14ADE"/>
    <w:rsid w:val="00D15B0A"/>
    <w:rsid w:val="00D161AA"/>
    <w:rsid w:val="00D16553"/>
    <w:rsid w:val="00D16B3F"/>
    <w:rsid w:val="00D1726F"/>
    <w:rsid w:val="00D17B12"/>
    <w:rsid w:val="00D209CC"/>
    <w:rsid w:val="00D20BF6"/>
    <w:rsid w:val="00D20DB6"/>
    <w:rsid w:val="00D22AB8"/>
    <w:rsid w:val="00D22E00"/>
    <w:rsid w:val="00D23DBF"/>
    <w:rsid w:val="00D2449A"/>
    <w:rsid w:val="00D245AF"/>
    <w:rsid w:val="00D245BE"/>
    <w:rsid w:val="00D24A26"/>
    <w:rsid w:val="00D25862"/>
    <w:rsid w:val="00D30E53"/>
    <w:rsid w:val="00D311F5"/>
    <w:rsid w:val="00D31C90"/>
    <w:rsid w:val="00D32110"/>
    <w:rsid w:val="00D328B1"/>
    <w:rsid w:val="00D334AE"/>
    <w:rsid w:val="00D33BED"/>
    <w:rsid w:val="00D354D6"/>
    <w:rsid w:val="00D35937"/>
    <w:rsid w:val="00D35B5B"/>
    <w:rsid w:val="00D35D8C"/>
    <w:rsid w:val="00D36661"/>
    <w:rsid w:val="00D375E3"/>
    <w:rsid w:val="00D37E10"/>
    <w:rsid w:val="00D37ED4"/>
    <w:rsid w:val="00D4087F"/>
    <w:rsid w:val="00D40991"/>
    <w:rsid w:val="00D412C3"/>
    <w:rsid w:val="00D41513"/>
    <w:rsid w:val="00D41C81"/>
    <w:rsid w:val="00D447B2"/>
    <w:rsid w:val="00D44C2B"/>
    <w:rsid w:val="00D464A1"/>
    <w:rsid w:val="00D4655E"/>
    <w:rsid w:val="00D4715F"/>
    <w:rsid w:val="00D51A77"/>
    <w:rsid w:val="00D5255D"/>
    <w:rsid w:val="00D52DAC"/>
    <w:rsid w:val="00D545FE"/>
    <w:rsid w:val="00D548B5"/>
    <w:rsid w:val="00D54F08"/>
    <w:rsid w:val="00D553C7"/>
    <w:rsid w:val="00D57798"/>
    <w:rsid w:val="00D6001D"/>
    <w:rsid w:val="00D60494"/>
    <w:rsid w:val="00D60B96"/>
    <w:rsid w:val="00D61A21"/>
    <w:rsid w:val="00D61C36"/>
    <w:rsid w:val="00D625F4"/>
    <w:rsid w:val="00D626C6"/>
    <w:rsid w:val="00D62D5E"/>
    <w:rsid w:val="00D633C8"/>
    <w:rsid w:val="00D641CF"/>
    <w:rsid w:val="00D641FE"/>
    <w:rsid w:val="00D64F52"/>
    <w:rsid w:val="00D6500F"/>
    <w:rsid w:val="00D65444"/>
    <w:rsid w:val="00D655A5"/>
    <w:rsid w:val="00D66108"/>
    <w:rsid w:val="00D66490"/>
    <w:rsid w:val="00D6673F"/>
    <w:rsid w:val="00D67563"/>
    <w:rsid w:val="00D67933"/>
    <w:rsid w:val="00D70464"/>
    <w:rsid w:val="00D708C0"/>
    <w:rsid w:val="00D71669"/>
    <w:rsid w:val="00D72298"/>
    <w:rsid w:val="00D73A46"/>
    <w:rsid w:val="00D73C6E"/>
    <w:rsid w:val="00D73FA2"/>
    <w:rsid w:val="00D7469F"/>
    <w:rsid w:val="00D75836"/>
    <w:rsid w:val="00D75E28"/>
    <w:rsid w:val="00D75E5D"/>
    <w:rsid w:val="00D764A7"/>
    <w:rsid w:val="00D77497"/>
    <w:rsid w:val="00D77D1C"/>
    <w:rsid w:val="00D805C5"/>
    <w:rsid w:val="00D815CF"/>
    <w:rsid w:val="00D81941"/>
    <w:rsid w:val="00D830DF"/>
    <w:rsid w:val="00D83BFC"/>
    <w:rsid w:val="00D84823"/>
    <w:rsid w:val="00D85165"/>
    <w:rsid w:val="00D87382"/>
    <w:rsid w:val="00D87F8B"/>
    <w:rsid w:val="00D90DEE"/>
    <w:rsid w:val="00D910B7"/>
    <w:rsid w:val="00D9172B"/>
    <w:rsid w:val="00D92816"/>
    <w:rsid w:val="00D92A68"/>
    <w:rsid w:val="00D92D34"/>
    <w:rsid w:val="00D9379A"/>
    <w:rsid w:val="00D93A39"/>
    <w:rsid w:val="00D93DCA"/>
    <w:rsid w:val="00D947EA"/>
    <w:rsid w:val="00D94C5A"/>
    <w:rsid w:val="00D95E8C"/>
    <w:rsid w:val="00D96B65"/>
    <w:rsid w:val="00D96DDD"/>
    <w:rsid w:val="00D97D8E"/>
    <w:rsid w:val="00DA1694"/>
    <w:rsid w:val="00DA2AEB"/>
    <w:rsid w:val="00DA2B39"/>
    <w:rsid w:val="00DA318A"/>
    <w:rsid w:val="00DA32CA"/>
    <w:rsid w:val="00DA392E"/>
    <w:rsid w:val="00DA3ADE"/>
    <w:rsid w:val="00DA4172"/>
    <w:rsid w:val="00DA4726"/>
    <w:rsid w:val="00DA497F"/>
    <w:rsid w:val="00DA63D0"/>
    <w:rsid w:val="00DA66B2"/>
    <w:rsid w:val="00DA6BE9"/>
    <w:rsid w:val="00DA6C5F"/>
    <w:rsid w:val="00DA7188"/>
    <w:rsid w:val="00DA728F"/>
    <w:rsid w:val="00DA729C"/>
    <w:rsid w:val="00DA7443"/>
    <w:rsid w:val="00DA7DCD"/>
    <w:rsid w:val="00DB0675"/>
    <w:rsid w:val="00DB0D8D"/>
    <w:rsid w:val="00DB1B21"/>
    <w:rsid w:val="00DB301B"/>
    <w:rsid w:val="00DB31A9"/>
    <w:rsid w:val="00DB4A59"/>
    <w:rsid w:val="00DB64C6"/>
    <w:rsid w:val="00DB6C6D"/>
    <w:rsid w:val="00DB6D8E"/>
    <w:rsid w:val="00DB6E55"/>
    <w:rsid w:val="00DB6F1C"/>
    <w:rsid w:val="00DB70B6"/>
    <w:rsid w:val="00DB7122"/>
    <w:rsid w:val="00DB719E"/>
    <w:rsid w:val="00DB768D"/>
    <w:rsid w:val="00DB7750"/>
    <w:rsid w:val="00DB7BA7"/>
    <w:rsid w:val="00DC037D"/>
    <w:rsid w:val="00DC094F"/>
    <w:rsid w:val="00DC0D39"/>
    <w:rsid w:val="00DC21B1"/>
    <w:rsid w:val="00DC29D6"/>
    <w:rsid w:val="00DC3E2B"/>
    <w:rsid w:val="00DC4406"/>
    <w:rsid w:val="00DC46AE"/>
    <w:rsid w:val="00DC471A"/>
    <w:rsid w:val="00DC506C"/>
    <w:rsid w:val="00DC627C"/>
    <w:rsid w:val="00DC6971"/>
    <w:rsid w:val="00DC6B24"/>
    <w:rsid w:val="00DD07DA"/>
    <w:rsid w:val="00DD109B"/>
    <w:rsid w:val="00DD21EE"/>
    <w:rsid w:val="00DD340A"/>
    <w:rsid w:val="00DD4A78"/>
    <w:rsid w:val="00DE0C3C"/>
    <w:rsid w:val="00DE15E1"/>
    <w:rsid w:val="00DE18FC"/>
    <w:rsid w:val="00DE1C3F"/>
    <w:rsid w:val="00DE1EC3"/>
    <w:rsid w:val="00DE256A"/>
    <w:rsid w:val="00DE2E6E"/>
    <w:rsid w:val="00DE3603"/>
    <w:rsid w:val="00DE4220"/>
    <w:rsid w:val="00DE4850"/>
    <w:rsid w:val="00DE4AEA"/>
    <w:rsid w:val="00DE58C4"/>
    <w:rsid w:val="00DE61AD"/>
    <w:rsid w:val="00DE6BC3"/>
    <w:rsid w:val="00DE71E5"/>
    <w:rsid w:val="00DE7365"/>
    <w:rsid w:val="00DE7AC3"/>
    <w:rsid w:val="00DE7B25"/>
    <w:rsid w:val="00DF01DA"/>
    <w:rsid w:val="00DF09D2"/>
    <w:rsid w:val="00DF1B90"/>
    <w:rsid w:val="00DF1E18"/>
    <w:rsid w:val="00DF1E46"/>
    <w:rsid w:val="00DF25F8"/>
    <w:rsid w:val="00DF385B"/>
    <w:rsid w:val="00DF3B96"/>
    <w:rsid w:val="00DF45F0"/>
    <w:rsid w:val="00DF5487"/>
    <w:rsid w:val="00DF567A"/>
    <w:rsid w:val="00DF60F8"/>
    <w:rsid w:val="00DF61D0"/>
    <w:rsid w:val="00DF6C11"/>
    <w:rsid w:val="00DF6DEA"/>
    <w:rsid w:val="00DF6FE9"/>
    <w:rsid w:val="00DF7521"/>
    <w:rsid w:val="00E004C8"/>
    <w:rsid w:val="00E005CB"/>
    <w:rsid w:val="00E00A6D"/>
    <w:rsid w:val="00E00B4C"/>
    <w:rsid w:val="00E0104A"/>
    <w:rsid w:val="00E01578"/>
    <w:rsid w:val="00E01A52"/>
    <w:rsid w:val="00E01B0A"/>
    <w:rsid w:val="00E023C1"/>
    <w:rsid w:val="00E03264"/>
    <w:rsid w:val="00E0377C"/>
    <w:rsid w:val="00E045AB"/>
    <w:rsid w:val="00E0462D"/>
    <w:rsid w:val="00E05514"/>
    <w:rsid w:val="00E058DD"/>
    <w:rsid w:val="00E05A4A"/>
    <w:rsid w:val="00E06672"/>
    <w:rsid w:val="00E0686F"/>
    <w:rsid w:val="00E06EFE"/>
    <w:rsid w:val="00E06F2A"/>
    <w:rsid w:val="00E070D6"/>
    <w:rsid w:val="00E101FA"/>
    <w:rsid w:val="00E113E4"/>
    <w:rsid w:val="00E11A86"/>
    <w:rsid w:val="00E11D99"/>
    <w:rsid w:val="00E13DCD"/>
    <w:rsid w:val="00E13F2A"/>
    <w:rsid w:val="00E14074"/>
    <w:rsid w:val="00E150AD"/>
    <w:rsid w:val="00E15740"/>
    <w:rsid w:val="00E15B81"/>
    <w:rsid w:val="00E15BC9"/>
    <w:rsid w:val="00E16422"/>
    <w:rsid w:val="00E16FAC"/>
    <w:rsid w:val="00E17639"/>
    <w:rsid w:val="00E17A0C"/>
    <w:rsid w:val="00E17A10"/>
    <w:rsid w:val="00E17ACF"/>
    <w:rsid w:val="00E203E1"/>
    <w:rsid w:val="00E21C86"/>
    <w:rsid w:val="00E2290B"/>
    <w:rsid w:val="00E23032"/>
    <w:rsid w:val="00E2362F"/>
    <w:rsid w:val="00E24F77"/>
    <w:rsid w:val="00E26997"/>
    <w:rsid w:val="00E277D5"/>
    <w:rsid w:val="00E30211"/>
    <w:rsid w:val="00E30781"/>
    <w:rsid w:val="00E31522"/>
    <w:rsid w:val="00E31EB4"/>
    <w:rsid w:val="00E33F71"/>
    <w:rsid w:val="00E35172"/>
    <w:rsid w:val="00E3531C"/>
    <w:rsid w:val="00E3673B"/>
    <w:rsid w:val="00E37057"/>
    <w:rsid w:val="00E37215"/>
    <w:rsid w:val="00E37D8B"/>
    <w:rsid w:val="00E4018F"/>
    <w:rsid w:val="00E40E03"/>
    <w:rsid w:val="00E40FF4"/>
    <w:rsid w:val="00E4124D"/>
    <w:rsid w:val="00E414D7"/>
    <w:rsid w:val="00E415FE"/>
    <w:rsid w:val="00E41E60"/>
    <w:rsid w:val="00E42509"/>
    <w:rsid w:val="00E43E32"/>
    <w:rsid w:val="00E44E4A"/>
    <w:rsid w:val="00E45734"/>
    <w:rsid w:val="00E4594B"/>
    <w:rsid w:val="00E45C55"/>
    <w:rsid w:val="00E45F7F"/>
    <w:rsid w:val="00E468C3"/>
    <w:rsid w:val="00E47015"/>
    <w:rsid w:val="00E47EAF"/>
    <w:rsid w:val="00E504F6"/>
    <w:rsid w:val="00E50EB1"/>
    <w:rsid w:val="00E514E8"/>
    <w:rsid w:val="00E516D2"/>
    <w:rsid w:val="00E51FF4"/>
    <w:rsid w:val="00E5380D"/>
    <w:rsid w:val="00E55B38"/>
    <w:rsid w:val="00E55DE8"/>
    <w:rsid w:val="00E570D6"/>
    <w:rsid w:val="00E5721E"/>
    <w:rsid w:val="00E57B4A"/>
    <w:rsid w:val="00E60AE2"/>
    <w:rsid w:val="00E60CDD"/>
    <w:rsid w:val="00E61458"/>
    <w:rsid w:val="00E63665"/>
    <w:rsid w:val="00E64CAE"/>
    <w:rsid w:val="00E64F08"/>
    <w:rsid w:val="00E651D0"/>
    <w:rsid w:val="00E66337"/>
    <w:rsid w:val="00E701CB"/>
    <w:rsid w:val="00E70528"/>
    <w:rsid w:val="00E70C18"/>
    <w:rsid w:val="00E71220"/>
    <w:rsid w:val="00E7123C"/>
    <w:rsid w:val="00E71983"/>
    <w:rsid w:val="00E71E32"/>
    <w:rsid w:val="00E727A8"/>
    <w:rsid w:val="00E72923"/>
    <w:rsid w:val="00E733B8"/>
    <w:rsid w:val="00E733D1"/>
    <w:rsid w:val="00E73633"/>
    <w:rsid w:val="00E7420C"/>
    <w:rsid w:val="00E74532"/>
    <w:rsid w:val="00E748B7"/>
    <w:rsid w:val="00E75E12"/>
    <w:rsid w:val="00E803C5"/>
    <w:rsid w:val="00E804E7"/>
    <w:rsid w:val="00E817CF"/>
    <w:rsid w:val="00E819FC"/>
    <w:rsid w:val="00E81F7F"/>
    <w:rsid w:val="00E82655"/>
    <w:rsid w:val="00E83192"/>
    <w:rsid w:val="00E84343"/>
    <w:rsid w:val="00E84C11"/>
    <w:rsid w:val="00E85E3A"/>
    <w:rsid w:val="00E8637B"/>
    <w:rsid w:val="00E8724C"/>
    <w:rsid w:val="00E904A4"/>
    <w:rsid w:val="00E90BFC"/>
    <w:rsid w:val="00E90EB1"/>
    <w:rsid w:val="00E91CF2"/>
    <w:rsid w:val="00E92661"/>
    <w:rsid w:val="00E933A7"/>
    <w:rsid w:val="00E945F8"/>
    <w:rsid w:val="00E94E3D"/>
    <w:rsid w:val="00E95DBD"/>
    <w:rsid w:val="00E95DDC"/>
    <w:rsid w:val="00E96032"/>
    <w:rsid w:val="00EA0E0A"/>
    <w:rsid w:val="00EA1946"/>
    <w:rsid w:val="00EA1A2C"/>
    <w:rsid w:val="00EA1D6E"/>
    <w:rsid w:val="00EA1E4B"/>
    <w:rsid w:val="00EA1E5D"/>
    <w:rsid w:val="00EA2704"/>
    <w:rsid w:val="00EA2CFC"/>
    <w:rsid w:val="00EA36D1"/>
    <w:rsid w:val="00EA3C6C"/>
    <w:rsid w:val="00EA4095"/>
    <w:rsid w:val="00EA4461"/>
    <w:rsid w:val="00EA51B9"/>
    <w:rsid w:val="00EA5377"/>
    <w:rsid w:val="00EA5760"/>
    <w:rsid w:val="00EA6790"/>
    <w:rsid w:val="00EA7A9F"/>
    <w:rsid w:val="00EA7D11"/>
    <w:rsid w:val="00EB0879"/>
    <w:rsid w:val="00EB1EBE"/>
    <w:rsid w:val="00EB2387"/>
    <w:rsid w:val="00EB25CF"/>
    <w:rsid w:val="00EB564D"/>
    <w:rsid w:val="00EB60EA"/>
    <w:rsid w:val="00EB709C"/>
    <w:rsid w:val="00EC17A0"/>
    <w:rsid w:val="00EC1BB2"/>
    <w:rsid w:val="00EC1E0E"/>
    <w:rsid w:val="00EC1E25"/>
    <w:rsid w:val="00EC2CA4"/>
    <w:rsid w:val="00EC31C8"/>
    <w:rsid w:val="00EC32F5"/>
    <w:rsid w:val="00EC3A3E"/>
    <w:rsid w:val="00EC3B51"/>
    <w:rsid w:val="00EC43ED"/>
    <w:rsid w:val="00EC5611"/>
    <w:rsid w:val="00EC7925"/>
    <w:rsid w:val="00EC79E1"/>
    <w:rsid w:val="00EC7F53"/>
    <w:rsid w:val="00ED0BA3"/>
    <w:rsid w:val="00ED1B83"/>
    <w:rsid w:val="00ED42A4"/>
    <w:rsid w:val="00ED489F"/>
    <w:rsid w:val="00ED4B21"/>
    <w:rsid w:val="00ED4E3F"/>
    <w:rsid w:val="00ED6452"/>
    <w:rsid w:val="00ED7715"/>
    <w:rsid w:val="00EE17D2"/>
    <w:rsid w:val="00EE1C75"/>
    <w:rsid w:val="00EE1D06"/>
    <w:rsid w:val="00EE21EC"/>
    <w:rsid w:val="00EE24B9"/>
    <w:rsid w:val="00EE2936"/>
    <w:rsid w:val="00EE29E1"/>
    <w:rsid w:val="00EE2DBE"/>
    <w:rsid w:val="00EE315F"/>
    <w:rsid w:val="00EE385E"/>
    <w:rsid w:val="00EE3BE5"/>
    <w:rsid w:val="00EE3DD2"/>
    <w:rsid w:val="00EE3EDD"/>
    <w:rsid w:val="00EE3F72"/>
    <w:rsid w:val="00EE4E7F"/>
    <w:rsid w:val="00EE53DC"/>
    <w:rsid w:val="00EE5462"/>
    <w:rsid w:val="00EF08D4"/>
    <w:rsid w:val="00EF1922"/>
    <w:rsid w:val="00EF21A3"/>
    <w:rsid w:val="00EF2DC0"/>
    <w:rsid w:val="00EF3092"/>
    <w:rsid w:val="00EF44B3"/>
    <w:rsid w:val="00EF472C"/>
    <w:rsid w:val="00EF4AA0"/>
    <w:rsid w:val="00EF5770"/>
    <w:rsid w:val="00EF6F4D"/>
    <w:rsid w:val="00EF6FE0"/>
    <w:rsid w:val="00EF7BC1"/>
    <w:rsid w:val="00F00DC0"/>
    <w:rsid w:val="00F013FA"/>
    <w:rsid w:val="00F01617"/>
    <w:rsid w:val="00F01C22"/>
    <w:rsid w:val="00F02599"/>
    <w:rsid w:val="00F02862"/>
    <w:rsid w:val="00F02E7F"/>
    <w:rsid w:val="00F0351D"/>
    <w:rsid w:val="00F04EC1"/>
    <w:rsid w:val="00F04EC4"/>
    <w:rsid w:val="00F050DE"/>
    <w:rsid w:val="00F05221"/>
    <w:rsid w:val="00F055ED"/>
    <w:rsid w:val="00F05789"/>
    <w:rsid w:val="00F058BF"/>
    <w:rsid w:val="00F05ABC"/>
    <w:rsid w:val="00F067A9"/>
    <w:rsid w:val="00F06CC5"/>
    <w:rsid w:val="00F078B2"/>
    <w:rsid w:val="00F10A10"/>
    <w:rsid w:val="00F10F60"/>
    <w:rsid w:val="00F1194C"/>
    <w:rsid w:val="00F11E37"/>
    <w:rsid w:val="00F1332A"/>
    <w:rsid w:val="00F14D9C"/>
    <w:rsid w:val="00F15F3A"/>
    <w:rsid w:val="00F1653F"/>
    <w:rsid w:val="00F172DE"/>
    <w:rsid w:val="00F17E8D"/>
    <w:rsid w:val="00F2061E"/>
    <w:rsid w:val="00F206C7"/>
    <w:rsid w:val="00F2190F"/>
    <w:rsid w:val="00F2211E"/>
    <w:rsid w:val="00F22861"/>
    <w:rsid w:val="00F22C90"/>
    <w:rsid w:val="00F235CA"/>
    <w:rsid w:val="00F23ADC"/>
    <w:rsid w:val="00F24B6F"/>
    <w:rsid w:val="00F25710"/>
    <w:rsid w:val="00F26248"/>
    <w:rsid w:val="00F262AD"/>
    <w:rsid w:val="00F26454"/>
    <w:rsid w:val="00F264CA"/>
    <w:rsid w:val="00F26EAE"/>
    <w:rsid w:val="00F3047C"/>
    <w:rsid w:val="00F307CB"/>
    <w:rsid w:val="00F3116B"/>
    <w:rsid w:val="00F314CF"/>
    <w:rsid w:val="00F32293"/>
    <w:rsid w:val="00F33DDD"/>
    <w:rsid w:val="00F33EB7"/>
    <w:rsid w:val="00F343E4"/>
    <w:rsid w:val="00F3489D"/>
    <w:rsid w:val="00F350CD"/>
    <w:rsid w:val="00F35D8F"/>
    <w:rsid w:val="00F36E1F"/>
    <w:rsid w:val="00F37B10"/>
    <w:rsid w:val="00F408AF"/>
    <w:rsid w:val="00F42026"/>
    <w:rsid w:val="00F42398"/>
    <w:rsid w:val="00F4322F"/>
    <w:rsid w:val="00F43ECB"/>
    <w:rsid w:val="00F44AC9"/>
    <w:rsid w:val="00F45912"/>
    <w:rsid w:val="00F46272"/>
    <w:rsid w:val="00F47AAF"/>
    <w:rsid w:val="00F47ACD"/>
    <w:rsid w:val="00F47D71"/>
    <w:rsid w:val="00F47E5F"/>
    <w:rsid w:val="00F5207F"/>
    <w:rsid w:val="00F52432"/>
    <w:rsid w:val="00F52443"/>
    <w:rsid w:val="00F52DBC"/>
    <w:rsid w:val="00F537D7"/>
    <w:rsid w:val="00F53AA0"/>
    <w:rsid w:val="00F5444E"/>
    <w:rsid w:val="00F548F8"/>
    <w:rsid w:val="00F552DC"/>
    <w:rsid w:val="00F56421"/>
    <w:rsid w:val="00F5666B"/>
    <w:rsid w:val="00F57ADF"/>
    <w:rsid w:val="00F60759"/>
    <w:rsid w:val="00F60E95"/>
    <w:rsid w:val="00F6141C"/>
    <w:rsid w:val="00F61879"/>
    <w:rsid w:val="00F61D4B"/>
    <w:rsid w:val="00F63CC5"/>
    <w:rsid w:val="00F6416B"/>
    <w:rsid w:val="00F65AB8"/>
    <w:rsid w:val="00F663D0"/>
    <w:rsid w:val="00F66476"/>
    <w:rsid w:val="00F6665B"/>
    <w:rsid w:val="00F6667E"/>
    <w:rsid w:val="00F6671A"/>
    <w:rsid w:val="00F66BD4"/>
    <w:rsid w:val="00F670F8"/>
    <w:rsid w:val="00F67B67"/>
    <w:rsid w:val="00F70284"/>
    <w:rsid w:val="00F70649"/>
    <w:rsid w:val="00F7117A"/>
    <w:rsid w:val="00F723E0"/>
    <w:rsid w:val="00F72729"/>
    <w:rsid w:val="00F7397D"/>
    <w:rsid w:val="00F748C0"/>
    <w:rsid w:val="00F750A5"/>
    <w:rsid w:val="00F758CF"/>
    <w:rsid w:val="00F763F2"/>
    <w:rsid w:val="00F76793"/>
    <w:rsid w:val="00F768FA"/>
    <w:rsid w:val="00F77025"/>
    <w:rsid w:val="00F800E2"/>
    <w:rsid w:val="00F80523"/>
    <w:rsid w:val="00F8057D"/>
    <w:rsid w:val="00F81585"/>
    <w:rsid w:val="00F822C3"/>
    <w:rsid w:val="00F822F0"/>
    <w:rsid w:val="00F829A0"/>
    <w:rsid w:val="00F82C34"/>
    <w:rsid w:val="00F82F37"/>
    <w:rsid w:val="00F834B2"/>
    <w:rsid w:val="00F83FFA"/>
    <w:rsid w:val="00F8453D"/>
    <w:rsid w:val="00F84C75"/>
    <w:rsid w:val="00F85041"/>
    <w:rsid w:val="00F8510A"/>
    <w:rsid w:val="00F868D1"/>
    <w:rsid w:val="00F87EB8"/>
    <w:rsid w:val="00F90960"/>
    <w:rsid w:val="00F90A37"/>
    <w:rsid w:val="00F90C6C"/>
    <w:rsid w:val="00F912B2"/>
    <w:rsid w:val="00F91797"/>
    <w:rsid w:val="00F9189B"/>
    <w:rsid w:val="00F926D0"/>
    <w:rsid w:val="00F92C82"/>
    <w:rsid w:val="00F92CC8"/>
    <w:rsid w:val="00F933BA"/>
    <w:rsid w:val="00F935BE"/>
    <w:rsid w:val="00F937E9"/>
    <w:rsid w:val="00F93B55"/>
    <w:rsid w:val="00F93C33"/>
    <w:rsid w:val="00F943D8"/>
    <w:rsid w:val="00F9472B"/>
    <w:rsid w:val="00F94876"/>
    <w:rsid w:val="00F94C34"/>
    <w:rsid w:val="00F95DA2"/>
    <w:rsid w:val="00F96BBF"/>
    <w:rsid w:val="00F96D88"/>
    <w:rsid w:val="00FA01BD"/>
    <w:rsid w:val="00FA05CC"/>
    <w:rsid w:val="00FA0793"/>
    <w:rsid w:val="00FA2410"/>
    <w:rsid w:val="00FA40D2"/>
    <w:rsid w:val="00FA52FD"/>
    <w:rsid w:val="00FA53C0"/>
    <w:rsid w:val="00FA58BD"/>
    <w:rsid w:val="00FA5F88"/>
    <w:rsid w:val="00FA614B"/>
    <w:rsid w:val="00FA69AE"/>
    <w:rsid w:val="00FA71C9"/>
    <w:rsid w:val="00FA7469"/>
    <w:rsid w:val="00FB1020"/>
    <w:rsid w:val="00FB1DA0"/>
    <w:rsid w:val="00FB22EE"/>
    <w:rsid w:val="00FB37B0"/>
    <w:rsid w:val="00FB3E75"/>
    <w:rsid w:val="00FB3EBD"/>
    <w:rsid w:val="00FB4664"/>
    <w:rsid w:val="00FB4A44"/>
    <w:rsid w:val="00FB5B36"/>
    <w:rsid w:val="00FB652B"/>
    <w:rsid w:val="00FB74F8"/>
    <w:rsid w:val="00FC02B8"/>
    <w:rsid w:val="00FC0397"/>
    <w:rsid w:val="00FC0C04"/>
    <w:rsid w:val="00FC1BE0"/>
    <w:rsid w:val="00FC278E"/>
    <w:rsid w:val="00FC2BB5"/>
    <w:rsid w:val="00FC4371"/>
    <w:rsid w:val="00FC45AE"/>
    <w:rsid w:val="00FC4EE9"/>
    <w:rsid w:val="00FC531A"/>
    <w:rsid w:val="00FC5A9A"/>
    <w:rsid w:val="00FC5DCA"/>
    <w:rsid w:val="00FC647D"/>
    <w:rsid w:val="00FC7024"/>
    <w:rsid w:val="00FC7A66"/>
    <w:rsid w:val="00FC7E6C"/>
    <w:rsid w:val="00FD0612"/>
    <w:rsid w:val="00FD1076"/>
    <w:rsid w:val="00FD1817"/>
    <w:rsid w:val="00FD29CA"/>
    <w:rsid w:val="00FD423F"/>
    <w:rsid w:val="00FD4597"/>
    <w:rsid w:val="00FD4630"/>
    <w:rsid w:val="00FD5375"/>
    <w:rsid w:val="00FE0391"/>
    <w:rsid w:val="00FE08FB"/>
    <w:rsid w:val="00FE14D2"/>
    <w:rsid w:val="00FE17E7"/>
    <w:rsid w:val="00FE2038"/>
    <w:rsid w:val="00FE2572"/>
    <w:rsid w:val="00FE31A3"/>
    <w:rsid w:val="00FE378B"/>
    <w:rsid w:val="00FE4554"/>
    <w:rsid w:val="00FE53FA"/>
    <w:rsid w:val="00FE54AF"/>
    <w:rsid w:val="00FE5F48"/>
    <w:rsid w:val="00FE649E"/>
    <w:rsid w:val="00FE6EB7"/>
    <w:rsid w:val="00FE7F00"/>
    <w:rsid w:val="00FF016B"/>
    <w:rsid w:val="00FF268C"/>
    <w:rsid w:val="00FF31E0"/>
    <w:rsid w:val="00FF3E0E"/>
    <w:rsid w:val="00FF4BB0"/>
    <w:rsid w:val="00FF4F8F"/>
    <w:rsid w:val="00FF623F"/>
    <w:rsid w:val="00FF659E"/>
    <w:rsid w:val="00FF66EF"/>
    <w:rsid w:val="00FF7C29"/>
    <w:rsid w:val="010052F2"/>
    <w:rsid w:val="011233F9"/>
    <w:rsid w:val="0117277E"/>
    <w:rsid w:val="011977FF"/>
    <w:rsid w:val="011B236A"/>
    <w:rsid w:val="0124518A"/>
    <w:rsid w:val="012820AC"/>
    <w:rsid w:val="012B5165"/>
    <w:rsid w:val="01332AA1"/>
    <w:rsid w:val="01395AA4"/>
    <w:rsid w:val="013C7AE4"/>
    <w:rsid w:val="01524B4E"/>
    <w:rsid w:val="01685079"/>
    <w:rsid w:val="016A6544"/>
    <w:rsid w:val="017E7EF1"/>
    <w:rsid w:val="01817917"/>
    <w:rsid w:val="018E1386"/>
    <w:rsid w:val="01972905"/>
    <w:rsid w:val="019A3076"/>
    <w:rsid w:val="01A03F55"/>
    <w:rsid w:val="01A45BF2"/>
    <w:rsid w:val="01A826A6"/>
    <w:rsid w:val="01AC01CB"/>
    <w:rsid w:val="01AC768B"/>
    <w:rsid w:val="01B62D5D"/>
    <w:rsid w:val="01B75888"/>
    <w:rsid w:val="01C61822"/>
    <w:rsid w:val="01D449B5"/>
    <w:rsid w:val="01DE775D"/>
    <w:rsid w:val="01E9707D"/>
    <w:rsid w:val="01FC69AA"/>
    <w:rsid w:val="02113C8C"/>
    <w:rsid w:val="02192495"/>
    <w:rsid w:val="021E15FC"/>
    <w:rsid w:val="023A3C09"/>
    <w:rsid w:val="023A6830"/>
    <w:rsid w:val="0242710F"/>
    <w:rsid w:val="024979C6"/>
    <w:rsid w:val="02616D42"/>
    <w:rsid w:val="02640B10"/>
    <w:rsid w:val="026F4A5F"/>
    <w:rsid w:val="028B3BC5"/>
    <w:rsid w:val="028C2FD9"/>
    <w:rsid w:val="029A345E"/>
    <w:rsid w:val="029F4909"/>
    <w:rsid w:val="02A85015"/>
    <w:rsid w:val="02BE4F93"/>
    <w:rsid w:val="02BF2505"/>
    <w:rsid w:val="03021F83"/>
    <w:rsid w:val="03063F3D"/>
    <w:rsid w:val="031373BF"/>
    <w:rsid w:val="03244AAA"/>
    <w:rsid w:val="032D6F22"/>
    <w:rsid w:val="034013F8"/>
    <w:rsid w:val="03634EA5"/>
    <w:rsid w:val="036A4382"/>
    <w:rsid w:val="037778F2"/>
    <w:rsid w:val="03802EC0"/>
    <w:rsid w:val="038153F0"/>
    <w:rsid w:val="03831DDF"/>
    <w:rsid w:val="03855AF0"/>
    <w:rsid w:val="03886F3E"/>
    <w:rsid w:val="03895897"/>
    <w:rsid w:val="03BD307D"/>
    <w:rsid w:val="03BF290D"/>
    <w:rsid w:val="03CF299E"/>
    <w:rsid w:val="03E41810"/>
    <w:rsid w:val="03F000EF"/>
    <w:rsid w:val="03FB3EBC"/>
    <w:rsid w:val="04154EA9"/>
    <w:rsid w:val="0420549D"/>
    <w:rsid w:val="042063D3"/>
    <w:rsid w:val="042155ED"/>
    <w:rsid w:val="042D5554"/>
    <w:rsid w:val="042F146F"/>
    <w:rsid w:val="044C41CE"/>
    <w:rsid w:val="045C55A6"/>
    <w:rsid w:val="045C7020"/>
    <w:rsid w:val="0469559A"/>
    <w:rsid w:val="047A4EF6"/>
    <w:rsid w:val="04810077"/>
    <w:rsid w:val="04AE34E3"/>
    <w:rsid w:val="04AF500D"/>
    <w:rsid w:val="04B131B5"/>
    <w:rsid w:val="04BD4C27"/>
    <w:rsid w:val="04E06408"/>
    <w:rsid w:val="04EB7C84"/>
    <w:rsid w:val="04F855E9"/>
    <w:rsid w:val="05041729"/>
    <w:rsid w:val="05074C8B"/>
    <w:rsid w:val="0516341C"/>
    <w:rsid w:val="0519312A"/>
    <w:rsid w:val="052A3C00"/>
    <w:rsid w:val="053058AE"/>
    <w:rsid w:val="054C7C0F"/>
    <w:rsid w:val="0552000D"/>
    <w:rsid w:val="056C7927"/>
    <w:rsid w:val="05815ED3"/>
    <w:rsid w:val="05960E9E"/>
    <w:rsid w:val="059A670A"/>
    <w:rsid w:val="059C2FB3"/>
    <w:rsid w:val="05C5402D"/>
    <w:rsid w:val="05ED677B"/>
    <w:rsid w:val="05F3060B"/>
    <w:rsid w:val="0600511F"/>
    <w:rsid w:val="060217AB"/>
    <w:rsid w:val="06215263"/>
    <w:rsid w:val="06303F45"/>
    <w:rsid w:val="063B63D1"/>
    <w:rsid w:val="064B7712"/>
    <w:rsid w:val="064E11DC"/>
    <w:rsid w:val="065E4954"/>
    <w:rsid w:val="066361BB"/>
    <w:rsid w:val="067B6FD9"/>
    <w:rsid w:val="067D509F"/>
    <w:rsid w:val="06830D4D"/>
    <w:rsid w:val="06996A48"/>
    <w:rsid w:val="06D12EC9"/>
    <w:rsid w:val="06DA04CC"/>
    <w:rsid w:val="06ED79DD"/>
    <w:rsid w:val="06F34EBE"/>
    <w:rsid w:val="07020945"/>
    <w:rsid w:val="07021039"/>
    <w:rsid w:val="0719623F"/>
    <w:rsid w:val="07286A92"/>
    <w:rsid w:val="072E4FA4"/>
    <w:rsid w:val="073E435C"/>
    <w:rsid w:val="07454B48"/>
    <w:rsid w:val="07542F85"/>
    <w:rsid w:val="07572DB5"/>
    <w:rsid w:val="075D76BF"/>
    <w:rsid w:val="07707552"/>
    <w:rsid w:val="078425A0"/>
    <w:rsid w:val="07C73E23"/>
    <w:rsid w:val="07C84F38"/>
    <w:rsid w:val="07EF6018"/>
    <w:rsid w:val="07F5789D"/>
    <w:rsid w:val="0801334D"/>
    <w:rsid w:val="080815E4"/>
    <w:rsid w:val="080C7932"/>
    <w:rsid w:val="081604BE"/>
    <w:rsid w:val="082C2456"/>
    <w:rsid w:val="08377BA9"/>
    <w:rsid w:val="086032DE"/>
    <w:rsid w:val="088227E3"/>
    <w:rsid w:val="08863A88"/>
    <w:rsid w:val="088C4413"/>
    <w:rsid w:val="08A32A02"/>
    <w:rsid w:val="08A6545E"/>
    <w:rsid w:val="08A73A68"/>
    <w:rsid w:val="08AD7327"/>
    <w:rsid w:val="08C621A6"/>
    <w:rsid w:val="08D26D9F"/>
    <w:rsid w:val="08EE7EFD"/>
    <w:rsid w:val="09134848"/>
    <w:rsid w:val="091F5E7A"/>
    <w:rsid w:val="092E79B5"/>
    <w:rsid w:val="093236B4"/>
    <w:rsid w:val="095D66B6"/>
    <w:rsid w:val="097428F4"/>
    <w:rsid w:val="097C7511"/>
    <w:rsid w:val="098D37DE"/>
    <w:rsid w:val="0993505D"/>
    <w:rsid w:val="099626E1"/>
    <w:rsid w:val="09964157"/>
    <w:rsid w:val="09A2330E"/>
    <w:rsid w:val="09C50FA2"/>
    <w:rsid w:val="09EE2D6F"/>
    <w:rsid w:val="09F93136"/>
    <w:rsid w:val="0A054CD0"/>
    <w:rsid w:val="0A4162FB"/>
    <w:rsid w:val="0A4D4B87"/>
    <w:rsid w:val="0A5C7770"/>
    <w:rsid w:val="0A6644F2"/>
    <w:rsid w:val="0AAA687E"/>
    <w:rsid w:val="0AB43EB6"/>
    <w:rsid w:val="0ABA0CB1"/>
    <w:rsid w:val="0ABF513D"/>
    <w:rsid w:val="0ACE65E9"/>
    <w:rsid w:val="0ADB6FC6"/>
    <w:rsid w:val="0AE01444"/>
    <w:rsid w:val="0AE25331"/>
    <w:rsid w:val="0AE3740F"/>
    <w:rsid w:val="0AF11039"/>
    <w:rsid w:val="0AF448B8"/>
    <w:rsid w:val="0AFD0E42"/>
    <w:rsid w:val="0B193979"/>
    <w:rsid w:val="0B2F1971"/>
    <w:rsid w:val="0B31052D"/>
    <w:rsid w:val="0B3B3555"/>
    <w:rsid w:val="0B3E0B7C"/>
    <w:rsid w:val="0B47277B"/>
    <w:rsid w:val="0BED6A4D"/>
    <w:rsid w:val="0C015F25"/>
    <w:rsid w:val="0C111A0C"/>
    <w:rsid w:val="0C1B4DE6"/>
    <w:rsid w:val="0C230103"/>
    <w:rsid w:val="0C2821AA"/>
    <w:rsid w:val="0C2F7D7E"/>
    <w:rsid w:val="0C310A16"/>
    <w:rsid w:val="0C4425D6"/>
    <w:rsid w:val="0C4B7E10"/>
    <w:rsid w:val="0C4D7CB1"/>
    <w:rsid w:val="0C671BDF"/>
    <w:rsid w:val="0C7503AE"/>
    <w:rsid w:val="0C794AAF"/>
    <w:rsid w:val="0C860B6F"/>
    <w:rsid w:val="0C9D0A8B"/>
    <w:rsid w:val="0C9D3535"/>
    <w:rsid w:val="0CAB0E29"/>
    <w:rsid w:val="0CB04651"/>
    <w:rsid w:val="0CC01C94"/>
    <w:rsid w:val="0CCC16E6"/>
    <w:rsid w:val="0CD7441F"/>
    <w:rsid w:val="0CED6159"/>
    <w:rsid w:val="0D0F621E"/>
    <w:rsid w:val="0D116147"/>
    <w:rsid w:val="0D1D5AF6"/>
    <w:rsid w:val="0D5A2AE9"/>
    <w:rsid w:val="0D6E485A"/>
    <w:rsid w:val="0D774FB0"/>
    <w:rsid w:val="0D7D101C"/>
    <w:rsid w:val="0D94217E"/>
    <w:rsid w:val="0D9735A6"/>
    <w:rsid w:val="0DBE62A1"/>
    <w:rsid w:val="0DC5725F"/>
    <w:rsid w:val="0DCD65ED"/>
    <w:rsid w:val="0DCE16E3"/>
    <w:rsid w:val="0DE7123F"/>
    <w:rsid w:val="0DED136C"/>
    <w:rsid w:val="0E000CD1"/>
    <w:rsid w:val="0E284B91"/>
    <w:rsid w:val="0E41553B"/>
    <w:rsid w:val="0E417E04"/>
    <w:rsid w:val="0E465671"/>
    <w:rsid w:val="0E4F70F1"/>
    <w:rsid w:val="0E5231C0"/>
    <w:rsid w:val="0E6F4709"/>
    <w:rsid w:val="0E7B798A"/>
    <w:rsid w:val="0E9218B1"/>
    <w:rsid w:val="0EC33575"/>
    <w:rsid w:val="0EE25800"/>
    <w:rsid w:val="0F150499"/>
    <w:rsid w:val="0F20313C"/>
    <w:rsid w:val="0F3030F5"/>
    <w:rsid w:val="0F536C1B"/>
    <w:rsid w:val="0F5E38AE"/>
    <w:rsid w:val="0F6040B7"/>
    <w:rsid w:val="0FAB7EE0"/>
    <w:rsid w:val="0FB54EE9"/>
    <w:rsid w:val="0FEA123B"/>
    <w:rsid w:val="0FF71955"/>
    <w:rsid w:val="100D580A"/>
    <w:rsid w:val="100F155D"/>
    <w:rsid w:val="101B4DCB"/>
    <w:rsid w:val="10242B09"/>
    <w:rsid w:val="102E2CF5"/>
    <w:rsid w:val="10331467"/>
    <w:rsid w:val="106E0457"/>
    <w:rsid w:val="108459A5"/>
    <w:rsid w:val="108656A4"/>
    <w:rsid w:val="10997E6C"/>
    <w:rsid w:val="10A169CA"/>
    <w:rsid w:val="10A35A0B"/>
    <w:rsid w:val="10AB7B3D"/>
    <w:rsid w:val="10DB6B5E"/>
    <w:rsid w:val="10E054E9"/>
    <w:rsid w:val="10E55B89"/>
    <w:rsid w:val="10EF7A39"/>
    <w:rsid w:val="10F44EC7"/>
    <w:rsid w:val="10F70531"/>
    <w:rsid w:val="1106664B"/>
    <w:rsid w:val="110B2CB6"/>
    <w:rsid w:val="11204E31"/>
    <w:rsid w:val="11305F3B"/>
    <w:rsid w:val="113138C4"/>
    <w:rsid w:val="11350F15"/>
    <w:rsid w:val="11494D32"/>
    <w:rsid w:val="114F3302"/>
    <w:rsid w:val="116721F0"/>
    <w:rsid w:val="116800CC"/>
    <w:rsid w:val="1169137A"/>
    <w:rsid w:val="11823E16"/>
    <w:rsid w:val="11937CBD"/>
    <w:rsid w:val="119466F5"/>
    <w:rsid w:val="119A4E5C"/>
    <w:rsid w:val="11A335F5"/>
    <w:rsid w:val="11AE4820"/>
    <w:rsid w:val="11B042E2"/>
    <w:rsid w:val="11CF614D"/>
    <w:rsid w:val="11D01A59"/>
    <w:rsid w:val="11D33D63"/>
    <w:rsid w:val="11DA1B2D"/>
    <w:rsid w:val="11DD1A00"/>
    <w:rsid w:val="11E72A75"/>
    <w:rsid w:val="122D5DE8"/>
    <w:rsid w:val="125359DD"/>
    <w:rsid w:val="125D67D3"/>
    <w:rsid w:val="1269118E"/>
    <w:rsid w:val="12712F24"/>
    <w:rsid w:val="127847ED"/>
    <w:rsid w:val="1284386B"/>
    <w:rsid w:val="128C72CD"/>
    <w:rsid w:val="129100C5"/>
    <w:rsid w:val="129262A3"/>
    <w:rsid w:val="129530E6"/>
    <w:rsid w:val="12A903C8"/>
    <w:rsid w:val="12B55F19"/>
    <w:rsid w:val="12BC1AC5"/>
    <w:rsid w:val="12C347AA"/>
    <w:rsid w:val="12D96D67"/>
    <w:rsid w:val="12E946B7"/>
    <w:rsid w:val="130003F4"/>
    <w:rsid w:val="130D71FE"/>
    <w:rsid w:val="131C61FC"/>
    <w:rsid w:val="134655EA"/>
    <w:rsid w:val="134A5F6F"/>
    <w:rsid w:val="1368782D"/>
    <w:rsid w:val="138C4FD5"/>
    <w:rsid w:val="138E1B2C"/>
    <w:rsid w:val="1398344F"/>
    <w:rsid w:val="13AD5C86"/>
    <w:rsid w:val="13DC514A"/>
    <w:rsid w:val="13DD29C6"/>
    <w:rsid w:val="13F12AD6"/>
    <w:rsid w:val="13F23507"/>
    <w:rsid w:val="14060CBF"/>
    <w:rsid w:val="140B62B4"/>
    <w:rsid w:val="142B5EF6"/>
    <w:rsid w:val="14355314"/>
    <w:rsid w:val="14363890"/>
    <w:rsid w:val="143A7409"/>
    <w:rsid w:val="14402357"/>
    <w:rsid w:val="14426919"/>
    <w:rsid w:val="1449542E"/>
    <w:rsid w:val="145251CB"/>
    <w:rsid w:val="1487575F"/>
    <w:rsid w:val="148953F6"/>
    <w:rsid w:val="148C1FF3"/>
    <w:rsid w:val="14935FCC"/>
    <w:rsid w:val="149C6D64"/>
    <w:rsid w:val="14A67489"/>
    <w:rsid w:val="14AF0E4C"/>
    <w:rsid w:val="14B50674"/>
    <w:rsid w:val="14C3604C"/>
    <w:rsid w:val="14C8343F"/>
    <w:rsid w:val="14D96150"/>
    <w:rsid w:val="14DD188A"/>
    <w:rsid w:val="14E44D77"/>
    <w:rsid w:val="14FE7BB8"/>
    <w:rsid w:val="152541F6"/>
    <w:rsid w:val="155772F0"/>
    <w:rsid w:val="1570351A"/>
    <w:rsid w:val="159F7C25"/>
    <w:rsid w:val="15C53135"/>
    <w:rsid w:val="15E03924"/>
    <w:rsid w:val="15E6308F"/>
    <w:rsid w:val="16114E20"/>
    <w:rsid w:val="16125664"/>
    <w:rsid w:val="162A6A32"/>
    <w:rsid w:val="162E5AEC"/>
    <w:rsid w:val="1632095F"/>
    <w:rsid w:val="16367D26"/>
    <w:rsid w:val="16441A2A"/>
    <w:rsid w:val="164D2BB6"/>
    <w:rsid w:val="166D420E"/>
    <w:rsid w:val="167E0F5B"/>
    <w:rsid w:val="167F4F89"/>
    <w:rsid w:val="16A662C2"/>
    <w:rsid w:val="16AA0267"/>
    <w:rsid w:val="16B84549"/>
    <w:rsid w:val="16CC592B"/>
    <w:rsid w:val="16DD76D5"/>
    <w:rsid w:val="16F82096"/>
    <w:rsid w:val="170A5794"/>
    <w:rsid w:val="17163BAD"/>
    <w:rsid w:val="172E56C3"/>
    <w:rsid w:val="175B7BFB"/>
    <w:rsid w:val="175F14B4"/>
    <w:rsid w:val="1793429D"/>
    <w:rsid w:val="179C2DB0"/>
    <w:rsid w:val="179C38BB"/>
    <w:rsid w:val="17A324AA"/>
    <w:rsid w:val="17A86BF6"/>
    <w:rsid w:val="17AA6687"/>
    <w:rsid w:val="17B73F65"/>
    <w:rsid w:val="17C974EC"/>
    <w:rsid w:val="17CC3F5C"/>
    <w:rsid w:val="17CF7CA8"/>
    <w:rsid w:val="17E80A17"/>
    <w:rsid w:val="17F65182"/>
    <w:rsid w:val="17FB7503"/>
    <w:rsid w:val="17FC6264"/>
    <w:rsid w:val="17FF220F"/>
    <w:rsid w:val="181442D1"/>
    <w:rsid w:val="18146674"/>
    <w:rsid w:val="18192DB3"/>
    <w:rsid w:val="18404CF6"/>
    <w:rsid w:val="18424A38"/>
    <w:rsid w:val="18437B17"/>
    <w:rsid w:val="186112AD"/>
    <w:rsid w:val="1866024F"/>
    <w:rsid w:val="18747F13"/>
    <w:rsid w:val="18843034"/>
    <w:rsid w:val="188623C4"/>
    <w:rsid w:val="18921B8E"/>
    <w:rsid w:val="18935BC4"/>
    <w:rsid w:val="18966E15"/>
    <w:rsid w:val="18BE5CFC"/>
    <w:rsid w:val="18DE1C9B"/>
    <w:rsid w:val="18E73714"/>
    <w:rsid w:val="18EA25C9"/>
    <w:rsid w:val="18FA4C86"/>
    <w:rsid w:val="18FC5119"/>
    <w:rsid w:val="190C47CF"/>
    <w:rsid w:val="192A2A68"/>
    <w:rsid w:val="193347F0"/>
    <w:rsid w:val="193C385E"/>
    <w:rsid w:val="194E432C"/>
    <w:rsid w:val="19501031"/>
    <w:rsid w:val="195F455A"/>
    <w:rsid w:val="1960032C"/>
    <w:rsid w:val="19766AEB"/>
    <w:rsid w:val="198217D0"/>
    <w:rsid w:val="1983408A"/>
    <w:rsid w:val="19864D8F"/>
    <w:rsid w:val="19865352"/>
    <w:rsid w:val="199414E0"/>
    <w:rsid w:val="199668BB"/>
    <w:rsid w:val="19E13621"/>
    <w:rsid w:val="19F57850"/>
    <w:rsid w:val="1A0514F7"/>
    <w:rsid w:val="1A09432C"/>
    <w:rsid w:val="1A0A3DB0"/>
    <w:rsid w:val="1A146B78"/>
    <w:rsid w:val="1A232C79"/>
    <w:rsid w:val="1A2D6FD8"/>
    <w:rsid w:val="1A304EC2"/>
    <w:rsid w:val="1A4110CE"/>
    <w:rsid w:val="1A471BA4"/>
    <w:rsid w:val="1A4E109B"/>
    <w:rsid w:val="1AB85CD6"/>
    <w:rsid w:val="1AB95FC1"/>
    <w:rsid w:val="1AC44C47"/>
    <w:rsid w:val="1AC6244D"/>
    <w:rsid w:val="1AD044A2"/>
    <w:rsid w:val="1AD44745"/>
    <w:rsid w:val="1AE46D1E"/>
    <w:rsid w:val="1B1565BD"/>
    <w:rsid w:val="1B3A0C2F"/>
    <w:rsid w:val="1B552691"/>
    <w:rsid w:val="1B58473B"/>
    <w:rsid w:val="1B72662A"/>
    <w:rsid w:val="1B730294"/>
    <w:rsid w:val="1B7F60C2"/>
    <w:rsid w:val="1B8213ED"/>
    <w:rsid w:val="1B8407BB"/>
    <w:rsid w:val="1B995DEB"/>
    <w:rsid w:val="1B9D629C"/>
    <w:rsid w:val="1BBB1472"/>
    <w:rsid w:val="1BD70CE0"/>
    <w:rsid w:val="1BE52911"/>
    <w:rsid w:val="1BE83335"/>
    <w:rsid w:val="1C1C7C10"/>
    <w:rsid w:val="1C2F1045"/>
    <w:rsid w:val="1C3C3F97"/>
    <w:rsid w:val="1C5248C2"/>
    <w:rsid w:val="1C56348A"/>
    <w:rsid w:val="1C610B4B"/>
    <w:rsid w:val="1C6C1AFD"/>
    <w:rsid w:val="1C6D72B0"/>
    <w:rsid w:val="1C7730CD"/>
    <w:rsid w:val="1C8B5039"/>
    <w:rsid w:val="1C8F772F"/>
    <w:rsid w:val="1C966223"/>
    <w:rsid w:val="1C9D266D"/>
    <w:rsid w:val="1CA54492"/>
    <w:rsid w:val="1CAB499D"/>
    <w:rsid w:val="1CBC5FB2"/>
    <w:rsid w:val="1CBD51FD"/>
    <w:rsid w:val="1CD37C8C"/>
    <w:rsid w:val="1CE17319"/>
    <w:rsid w:val="1D0C4193"/>
    <w:rsid w:val="1D2346B8"/>
    <w:rsid w:val="1D445BBE"/>
    <w:rsid w:val="1D6325D9"/>
    <w:rsid w:val="1D683DF2"/>
    <w:rsid w:val="1D694A75"/>
    <w:rsid w:val="1D6C0539"/>
    <w:rsid w:val="1D7364E4"/>
    <w:rsid w:val="1D9F7DFD"/>
    <w:rsid w:val="1DA2266B"/>
    <w:rsid w:val="1DB51367"/>
    <w:rsid w:val="1DB93B93"/>
    <w:rsid w:val="1DCA053E"/>
    <w:rsid w:val="1E006C93"/>
    <w:rsid w:val="1E0B4B35"/>
    <w:rsid w:val="1E165A87"/>
    <w:rsid w:val="1E2825CF"/>
    <w:rsid w:val="1E3B57FB"/>
    <w:rsid w:val="1E3D0621"/>
    <w:rsid w:val="1E4B053E"/>
    <w:rsid w:val="1E4C432A"/>
    <w:rsid w:val="1E5B3C07"/>
    <w:rsid w:val="1E615340"/>
    <w:rsid w:val="1E6524E1"/>
    <w:rsid w:val="1E7E47A1"/>
    <w:rsid w:val="1E7F26A7"/>
    <w:rsid w:val="1E886E5B"/>
    <w:rsid w:val="1E92103D"/>
    <w:rsid w:val="1E960765"/>
    <w:rsid w:val="1EBD12BB"/>
    <w:rsid w:val="1EBD748A"/>
    <w:rsid w:val="1ED21FA7"/>
    <w:rsid w:val="1ED23397"/>
    <w:rsid w:val="1EF75AAF"/>
    <w:rsid w:val="1EFE460F"/>
    <w:rsid w:val="1F051CEC"/>
    <w:rsid w:val="1F0572E7"/>
    <w:rsid w:val="1F061C31"/>
    <w:rsid w:val="1F0B4030"/>
    <w:rsid w:val="1F15494C"/>
    <w:rsid w:val="1F332C70"/>
    <w:rsid w:val="1F4502B9"/>
    <w:rsid w:val="1F453B1C"/>
    <w:rsid w:val="1F5E40FA"/>
    <w:rsid w:val="1F720F8A"/>
    <w:rsid w:val="1F804B34"/>
    <w:rsid w:val="1F851F8D"/>
    <w:rsid w:val="1F867BDC"/>
    <w:rsid w:val="1F8D6207"/>
    <w:rsid w:val="1F916DED"/>
    <w:rsid w:val="1FAD7809"/>
    <w:rsid w:val="1FCF3C42"/>
    <w:rsid w:val="1FD21994"/>
    <w:rsid w:val="1FD430C0"/>
    <w:rsid w:val="1FED2764"/>
    <w:rsid w:val="1FF03F47"/>
    <w:rsid w:val="1FF14268"/>
    <w:rsid w:val="20100341"/>
    <w:rsid w:val="201F6D1A"/>
    <w:rsid w:val="203B0831"/>
    <w:rsid w:val="20414B9C"/>
    <w:rsid w:val="20444809"/>
    <w:rsid w:val="20515571"/>
    <w:rsid w:val="205B2212"/>
    <w:rsid w:val="205C128D"/>
    <w:rsid w:val="2064031C"/>
    <w:rsid w:val="207516EC"/>
    <w:rsid w:val="20787273"/>
    <w:rsid w:val="20811A6C"/>
    <w:rsid w:val="20926C85"/>
    <w:rsid w:val="20A064B6"/>
    <w:rsid w:val="20DB775E"/>
    <w:rsid w:val="20E22CC2"/>
    <w:rsid w:val="20E51208"/>
    <w:rsid w:val="20F54F3C"/>
    <w:rsid w:val="20F96616"/>
    <w:rsid w:val="20FA4CB8"/>
    <w:rsid w:val="210064E2"/>
    <w:rsid w:val="21017C8B"/>
    <w:rsid w:val="2145439B"/>
    <w:rsid w:val="21585476"/>
    <w:rsid w:val="215C5708"/>
    <w:rsid w:val="215E25AD"/>
    <w:rsid w:val="218E1341"/>
    <w:rsid w:val="219271AF"/>
    <w:rsid w:val="21A46360"/>
    <w:rsid w:val="21CB560B"/>
    <w:rsid w:val="21D01421"/>
    <w:rsid w:val="21D45BFE"/>
    <w:rsid w:val="21DB3894"/>
    <w:rsid w:val="21EB6F0D"/>
    <w:rsid w:val="2206514D"/>
    <w:rsid w:val="221645B5"/>
    <w:rsid w:val="22201975"/>
    <w:rsid w:val="222B1D05"/>
    <w:rsid w:val="22323F9D"/>
    <w:rsid w:val="22324A85"/>
    <w:rsid w:val="22475560"/>
    <w:rsid w:val="22483377"/>
    <w:rsid w:val="226E6DA3"/>
    <w:rsid w:val="226F6091"/>
    <w:rsid w:val="22846FF2"/>
    <w:rsid w:val="22C048C0"/>
    <w:rsid w:val="22C12EFC"/>
    <w:rsid w:val="22D86908"/>
    <w:rsid w:val="22DF71E5"/>
    <w:rsid w:val="22E643E6"/>
    <w:rsid w:val="22E7773C"/>
    <w:rsid w:val="22F6208B"/>
    <w:rsid w:val="22F94BF1"/>
    <w:rsid w:val="230711F4"/>
    <w:rsid w:val="232777E5"/>
    <w:rsid w:val="234B777F"/>
    <w:rsid w:val="23570316"/>
    <w:rsid w:val="235B7BA5"/>
    <w:rsid w:val="235F4FD1"/>
    <w:rsid w:val="23770710"/>
    <w:rsid w:val="237D06E1"/>
    <w:rsid w:val="238D6942"/>
    <w:rsid w:val="2397459D"/>
    <w:rsid w:val="23AE26BA"/>
    <w:rsid w:val="23AF360F"/>
    <w:rsid w:val="23D1041A"/>
    <w:rsid w:val="23E83C9D"/>
    <w:rsid w:val="23FB0227"/>
    <w:rsid w:val="24032A05"/>
    <w:rsid w:val="240C2A1B"/>
    <w:rsid w:val="24242C55"/>
    <w:rsid w:val="24264D8B"/>
    <w:rsid w:val="24354E2E"/>
    <w:rsid w:val="244325C8"/>
    <w:rsid w:val="24440640"/>
    <w:rsid w:val="24513617"/>
    <w:rsid w:val="245812B6"/>
    <w:rsid w:val="24625FF1"/>
    <w:rsid w:val="24841670"/>
    <w:rsid w:val="248967C6"/>
    <w:rsid w:val="248A57CB"/>
    <w:rsid w:val="2490676B"/>
    <w:rsid w:val="24911E27"/>
    <w:rsid w:val="249C58C5"/>
    <w:rsid w:val="24B36E75"/>
    <w:rsid w:val="24BA53D1"/>
    <w:rsid w:val="24C55991"/>
    <w:rsid w:val="24CE2E1D"/>
    <w:rsid w:val="24E062D0"/>
    <w:rsid w:val="24FC71F6"/>
    <w:rsid w:val="25087187"/>
    <w:rsid w:val="25145E2B"/>
    <w:rsid w:val="25260BE2"/>
    <w:rsid w:val="25306C8D"/>
    <w:rsid w:val="25325107"/>
    <w:rsid w:val="2538748D"/>
    <w:rsid w:val="254520E0"/>
    <w:rsid w:val="25473710"/>
    <w:rsid w:val="2559778D"/>
    <w:rsid w:val="2579457F"/>
    <w:rsid w:val="25866913"/>
    <w:rsid w:val="258C6769"/>
    <w:rsid w:val="25911BF3"/>
    <w:rsid w:val="25916562"/>
    <w:rsid w:val="25983EFA"/>
    <w:rsid w:val="259A1BF0"/>
    <w:rsid w:val="25A555CC"/>
    <w:rsid w:val="25AC32EC"/>
    <w:rsid w:val="25B01877"/>
    <w:rsid w:val="25BD0E66"/>
    <w:rsid w:val="25C20541"/>
    <w:rsid w:val="25D03C3D"/>
    <w:rsid w:val="25D77000"/>
    <w:rsid w:val="25F74B29"/>
    <w:rsid w:val="262D2F07"/>
    <w:rsid w:val="26447F7D"/>
    <w:rsid w:val="265118B2"/>
    <w:rsid w:val="26556668"/>
    <w:rsid w:val="265E70DC"/>
    <w:rsid w:val="26646BB1"/>
    <w:rsid w:val="26981834"/>
    <w:rsid w:val="26993654"/>
    <w:rsid w:val="269C1523"/>
    <w:rsid w:val="269C7222"/>
    <w:rsid w:val="26A06479"/>
    <w:rsid w:val="26A37B90"/>
    <w:rsid w:val="26AD5F70"/>
    <w:rsid w:val="26B327D8"/>
    <w:rsid w:val="26C01540"/>
    <w:rsid w:val="26D33E83"/>
    <w:rsid w:val="26D3669F"/>
    <w:rsid w:val="26D45F5A"/>
    <w:rsid w:val="26D9241F"/>
    <w:rsid w:val="26E628E7"/>
    <w:rsid w:val="26FA1696"/>
    <w:rsid w:val="272669F5"/>
    <w:rsid w:val="27355144"/>
    <w:rsid w:val="273C619C"/>
    <w:rsid w:val="273E1DB3"/>
    <w:rsid w:val="27481E0C"/>
    <w:rsid w:val="275505AC"/>
    <w:rsid w:val="27564903"/>
    <w:rsid w:val="275857DB"/>
    <w:rsid w:val="275C111E"/>
    <w:rsid w:val="276901DB"/>
    <w:rsid w:val="277B06AD"/>
    <w:rsid w:val="277C50C9"/>
    <w:rsid w:val="278B081B"/>
    <w:rsid w:val="279E3CAE"/>
    <w:rsid w:val="27A36A95"/>
    <w:rsid w:val="27D217C6"/>
    <w:rsid w:val="27D346F4"/>
    <w:rsid w:val="27DB08AC"/>
    <w:rsid w:val="27E067A1"/>
    <w:rsid w:val="27E232D5"/>
    <w:rsid w:val="27E277F8"/>
    <w:rsid w:val="27E54F4C"/>
    <w:rsid w:val="27FB3665"/>
    <w:rsid w:val="28027445"/>
    <w:rsid w:val="28210A92"/>
    <w:rsid w:val="28245DEC"/>
    <w:rsid w:val="28322761"/>
    <w:rsid w:val="28397FD1"/>
    <w:rsid w:val="285F3388"/>
    <w:rsid w:val="287403EF"/>
    <w:rsid w:val="28877845"/>
    <w:rsid w:val="28A15BF5"/>
    <w:rsid w:val="28A8151B"/>
    <w:rsid w:val="28AC06DF"/>
    <w:rsid w:val="28B13347"/>
    <w:rsid w:val="28B90232"/>
    <w:rsid w:val="28BF35D4"/>
    <w:rsid w:val="28E123C9"/>
    <w:rsid w:val="29077E94"/>
    <w:rsid w:val="29116D01"/>
    <w:rsid w:val="29135D8F"/>
    <w:rsid w:val="291B7EA3"/>
    <w:rsid w:val="291D4712"/>
    <w:rsid w:val="29221104"/>
    <w:rsid w:val="296130F0"/>
    <w:rsid w:val="29670484"/>
    <w:rsid w:val="296B7F2A"/>
    <w:rsid w:val="298C0C6C"/>
    <w:rsid w:val="29985CFF"/>
    <w:rsid w:val="2999448A"/>
    <w:rsid w:val="29A207A8"/>
    <w:rsid w:val="29A6149D"/>
    <w:rsid w:val="29AD0DDE"/>
    <w:rsid w:val="29C84D99"/>
    <w:rsid w:val="29E81B05"/>
    <w:rsid w:val="2A1267BB"/>
    <w:rsid w:val="2A1D5771"/>
    <w:rsid w:val="2A1D75B0"/>
    <w:rsid w:val="2A2A7A7E"/>
    <w:rsid w:val="2A421C9E"/>
    <w:rsid w:val="2A507C91"/>
    <w:rsid w:val="2A536DD4"/>
    <w:rsid w:val="2A69385F"/>
    <w:rsid w:val="2A696197"/>
    <w:rsid w:val="2A6F5CAA"/>
    <w:rsid w:val="2A761C8F"/>
    <w:rsid w:val="2A816079"/>
    <w:rsid w:val="2AB81033"/>
    <w:rsid w:val="2AD979F6"/>
    <w:rsid w:val="2AF26BE1"/>
    <w:rsid w:val="2B0E0F21"/>
    <w:rsid w:val="2B103F1F"/>
    <w:rsid w:val="2B2213E7"/>
    <w:rsid w:val="2B2848D0"/>
    <w:rsid w:val="2B33756F"/>
    <w:rsid w:val="2B3B4ECF"/>
    <w:rsid w:val="2B403695"/>
    <w:rsid w:val="2B471E80"/>
    <w:rsid w:val="2B545456"/>
    <w:rsid w:val="2B6503F3"/>
    <w:rsid w:val="2B6E159C"/>
    <w:rsid w:val="2B71507A"/>
    <w:rsid w:val="2B8309E9"/>
    <w:rsid w:val="2B8767F1"/>
    <w:rsid w:val="2B9248A9"/>
    <w:rsid w:val="2B9F40BC"/>
    <w:rsid w:val="2BB86479"/>
    <w:rsid w:val="2BBA6477"/>
    <w:rsid w:val="2BC05321"/>
    <w:rsid w:val="2BC80468"/>
    <w:rsid w:val="2BD275D7"/>
    <w:rsid w:val="2BD43B44"/>
    <w:rsid w:val="2BD641C6"/>
    <w:rsid w:val="2BDA2991"/>
    <w:rsid w:val="2BE4326C"/>
    <w:rsid w:val="2BEC38EB"/>
    <w:rsid w:val="2BF15212"/>
    <w:rsid w:val="2BF25A51"/>
    <w:rsid w:val="2BFC63EA"/>
    <w:rsid w:val="2C0A204B"/>
    <w:rsid w:val="2C3059B6"/>
    <w:rsid w:val="2C4578CB"/>
    <w:rsid w:val="2C4B4DC6"/>
    <w:rsid w:val="2C520828"/>
    <w:rsid w:val="2CA14D48"/>
    <w:rsid w:val="2CBA39C8"/>
    <w:rsid w:val="2CD46820"/>
    <w:rsid w:val="2CDC49B9"/>
    <w:rsid w:val="2CE67330"/>
    <w:rsid w:val="2CEA5269"/>
    <w:rsid w:val="2CEB5902"/>
    <w:rsid w:val="2CFF1D7F"/>
    <w:rsid w:val="2D061359"/>
    <w:rsid w:val="2D194F35"/>
    <w:rsid w:val="2D23065A"/>
    <w:rsid w:val="2D3D6D98"/>
    <w:rsid w:val="2D4D1A06"/>
    <w:rsid w:val="2D4F50C9"/>
    <w:rsid w:val="2D50463B"/>
    <w:rsid w:val="2D566DA4"/>
    <w:rsid w:val="2D5E7950"/>
    <w:rsid w:val="2D680886"/>
    <w:rsid w:val="2D7C0845"/>
    <w:rsid w:val="2DA52D58"/>
    <w:rsid w:val="2DB11673"/>
    <w:rsid w:val="2DB73CE6"/>
    <w:rsid w:val="2DC7716F"/>
    <w:rsid w:val="2DCA5B06"/>
    <w:rsid w:val="2DEB4305"/>
    <w:rsid w:val="2DF07BDA"/>
    <w:rsid w:val="2E0611FC"/>
    <w:rsid w:val="2E0B52F0"/>
    <w:rsid w:val="2E2012AC"/>
    <w:rsid w:val="2E2F1C7B"/>
    <w:rsid w:val="2E3E4F11"/>
    <w:rsid w:val="2E543A95"/>
    <w:rsid w:val="2E5E0A8F"/>
    <w:rsid w:val="2E892374"/>
    <w:rsid w:val="2E953B8F"/>
    <w:rsid w:val="2E9671D9"/>
    <w:rsid w:val="2EA32CDB"/>
    <w:rsid w:val="2EAA179C"/>
    <w:rsid w:val="2ECE58CD"/>
    <w:rsid w:val="2ED02E53"/>
    <w:rsid w:val="2ED45BAD"/>
    <w:rsid w:val="2ED76BFA"/>
    <w:rsid w:val="2EE20A44"/>
    <w:rsid w:val="2F0A173F"/>
    <w:rsid w:val="2F117467"/>
    <w:rsid w:val="2F2706AC"/>
    <w:rsid w:val="2F2A4036"/>
    <w:rsid w:val="2F43567F"/>
    <w:rsid w:val="2F706BCC"/>
    <w:rsid w:val="2F757772"/>
    <w:rsid w:val="2F8D630E"/>
    <w:rsid w:val="2F9E4D3A"/>
    <w:rsid w:val="2FB038C6"/>
    <w:rsid w:val="2FCA5282"/>
    <w:rsid w:val="2FCF720E"/>
    <w:rsid w:val="2FD020E0"/>
    <w:rsid w:val="2FD1667E"/>
    <w:rsid w:val="2FD17DD7"/>
    <w:rsid w:val="2FEF192C"/>
    <w:rsid w:val="2FF35CBC"/>
    <w:rsid w:val="2FF623D4"/>
    <w:rsid w:val="30093F61"/>
    <w:rsid w:val="300F426A"/>
    <w:rsid w:val="301C76A3"/>
    <w:rsid w:val="3030663F"/>
    <w:rsid w:val="30491A4F"/>
    <w:rsid w:val="30522249"/>
    <w:rsid w:val="30676ADB"/>
    <w:rsid w:val="306911B2"/>
    <w:rsid w:val="3071408C"/>
    <w:rsid w:val="30764DF3"/>
    <w:rsid w:val="30AC00BD"/>
    <w:rsid w:val="30AE427E"/>
    <w:rsid w:val="30C716F2"/>
    <w:rsid w:val="30D25841"/>
    <w:rsid w:val="30D40E00"/>
    <w:rsid w:val="30D93091"/>
    <w:rsid w:val="30DE582E"/>
    <w:rsid w:val="30E609FF"/>
    <w:rsid w:val="30E93D01"/>
    <w:rsid w:val="30F556CC"/>
    <w:rsid w:val="30FF7107"/>
    <w:rsid w:val="310F652B"/>
    <w:rsid w:val="311234BA"/>
    <w:rsid w:val="31147E21"/>
    <w:rsid w:val="31163128"/>
    <w:rsid w:val="31306F54"/>
    <w:rsid w:val="31312A42"/>
    <w:rsid w:val="31451FF9"/>
    <w:rsid w:val="314D098E"/>
    <w:rsid w:val="31534F74"/>
    <w:rsid w:val="316E0968"/>
    <w:rsid w:val="3170391D"/>
    <w:rsid w:val="31813985"/>
    <w:rsid w:val="318230D3"/>
    <w:rsid w:val="31840747"/>
    <w:rsid w:val="319D0937"/>
    <w:rsid w:val="31B56879"/>
    <w:rsid w:val="31B84C7A"/>
    <w:rsid w:val="31B94EE4"/>
    <w:rsid w:val="31C03FFE"/>
    <w:rsid w:val="31EC2F1A"/>
    <w:rsid w:val="31FA423F"/>
    <w:rsid w:val="3210135D"/>
    <w:rsid w:val="32173659"/>
    <w:rsid w:val="32192A04"/>
    <w:rsid w:val="3226050F"/>
    <w:rsid w:val="322A7461"/>
    <w:rsid w:val="32354C57"/>
    <w:rsid w:val="324602AA"/>
    <w:rsid w:val="32627379"/>
    <w:rsid w:val="326E2ADF"/>
    <w:rsid w:val="327465C5"/>
    <w:rsid w:val="32775800"/>
    <w:rsid w:val="3288690C"/>
    <w:rsid w:val="32944919"/>
    <w:rsid w:val="32AF2E0A"/>
    <w:rsid w:val="32BC6AC8"/>
    <w:rsid w:val="32F57207"/>
    <w:rsid w:val="3300793D"/>
    <w:rsid w:val="330B7D1A"/>
    <w:rsid w:val="3311386D"/>
    <w:rsid w:val="33115075"/>
    <w:rsid w:val="33126679"/>
    <w:rsid w:val="33147E8A"/>
    <w:rsid w:val="33153EF7"/>
    <w:rsid w:val="33221307"/>
    <w:rsid w:val="333011E9"/>
    <w:rsid w:val="33390216"/>
    <w:rsid w:val="334709AC"/>
    <w:rsid w:val="334D0623"/>
    <w:rsid w:val="335076C7"/>
    <w:rsid w:val="3351242E"/>
    <w:rsid w:val="33584660"/>
    <w:rsid w:val="33843DCC"/>
    <w:rsid w:val="33866007"/>
    <w:rsid w:val="33971792"/>
    <w:rsid w:val="339A122D"/>
    <w:rsid w:val="33ED00CC"/>
    <w:rsid w:val="341275B8"/>
    <w:rsid w:val="34254D7B"/>
    <w:rsid w:val="342753BD"/>
    <w:rsid w:val="34717613"/>
    <w:rsid w:val="347348E5"/>
    <w:rsid w:val="347511F4"/>
    <w:rsid w:val="3476325D"/>
    <w:rsid w:val="3477296F"/>
    <w:rsid w:val="34950A17"/>
    <w:rsid w:val="34AB1C4F"/>
    <w:rsid w:val="34C33D20"/>
    <w:rsid w:val="34C86238"/>
    <w:rsid w:val="34E34BBD"/>
    <w:rsid w:val="34E47021"/>
    <w:rsid w:val="34EF7274"/>
    <w:rsid w:val="34F873F3"/>
    <w:rsid w:val="35114B49"/>
    <w:rsid w:val="351A380A"/>
    <w:rsid w:val="351D0F7B"/>
    <w:rsid w:val="3521044F"/>
    <w:rsid w:val="354060B2"/>
    <w:rsid w:val="35567A83"/>
    <w:rsid w:val="3580683D"/>
    <w:rsid w:val="35850DEB"/>
    <w:rsid w:val="35905515"/>
    <w:rsid w:val="35A6026D"/>
    <w:rsid w:val="35BA3A45"/>
    <w:rsid w:val="35D13D1F"/>
    <w:rsid w:val="35D2785F"/>
    <w:rsid w:val="35D44CC8"/>
    <w:rsid w:val="35D6522F"/>
    <w:rsid w:val="35E52312"/>
    <w:rsid w:val="35F16EC6"/>
    <w:rsid w:val="35FE0DDD"/>
    <w:rsid w:val="36310F78"/>
    <w:rsid w:val="36747067"/>
    <w:rsid w:val="367D3A07"/>
    <w:rsid w:val="368E5F4D"/>
    <w:rsid w:val="369B7850"/>
    <w:rsid w:val="36AC1753"/>
    <w:rsid w:val="36AC56EC"/>
    <w:rsid w:val="36C13664"/>
    <w:rsid w:val="36C812F1"/>
    <w:rsid w:val="36D00412"/>
    <w:rsid w:val="36D61124"/>
    <w:rsid w:val="36E01113"/>
    <w:rsid w:val="371508A7"/>
    <w:rsid w:val="37196516"/>
    <w:rsid w:val="371B529E"/>
    <w:rsid w:val="372B7E98"/>
    <w:rsid w:val="37386EFD"/>
    <w:rsid w:val="373A769D"/>
    <w:rsid w:val="375B0B90"/>
    <w:rsid w:val="375D5AD9"/>
    <w:rsid w:val="3762425B"/>
    <w:rsid w:val="376936D2"/>
    <w:rsid w:val="376C6396"/>
    <w:rsid w:val="3782227A"/>
    <w:rsid w:val="37CC1545"/>
    <w:rsid w:val="37CC1AAF"/>
    <w:rsid w:val="37CC7D68"/>
    <w:rsid w:val="37E20A0E"/>
    <w:rsid w:val="38020603"/>
    <w:rsid w:val="38167CF3"/>
    <w:rsid w:val="381B37CD"/>
    <w:rsid w:val="381E569D"/>
    <w:rsid w:val="381F236D"/>
    <w:rsid w:val="383432B6"/>
    <w:rsid w:val="385B2D39"/>
    <w:rsid w:val="3866093C"/>
    <w:rsid w:val="38871343"/>
    <w:rsid w:val="38A12309"/>
    <w:rsid w:val="38B83D6C"/>
    <w:rsid w:val="38C6203D"/>
    <w:rsid w:val="38D73C69"/>
    <w:rsid w:val="38D75C6F"/>
    <w:rsid w:val="38FB5ADF"/>
    <w:rsid w:val="38FF3925"/>
    <w:rsid w:val="38FF4F50"/>
    <w:rsid w:val="390D737A"/>
    <w:rsid w:val="3916155F"/>
    <w:rsid w:val="39186692"/>
    <w:rsid w:val="391B18BE"/>
    <w:rsid w:val="391F33B7"/>
    <w:rsid w:val="392413D7"/>
    <w:rsid w:val="392C36A2"/>
    <w:rsid w:val="393B78E5"/>
    <w:rsid w:val="39445C69"/>
    <w:rsid w:val="39451D5B"/>
    <w:rsid w:val="394F1E39"/>
    <w:rsid w:val="395E7639"/>
    <w:rsid w:val="396C421A"/>
    <w:rsid w:val="39825502"/>
    <w:rsid w:val="3991728B"/>
    <w:rsid w:val="39920550"/>
    <w:rsid w:val="39956E63"/>
    <w:rsid w:val="39A62DCA"/>
    <w:rsid w:val="39AF1F47"/>
    <w:rsid w:val="39BB1C0A"/>
    <w:rsid w:val="39C32786"/>
    <w:rsid w:val="39C7207C"/>
    <w:rsid w:val="39CA58F7"/>
    <w:rsid w:val="39DD083F"/>
    <w:rsid w:val="39ED327F"/>
    <w:rsid w:val="39EF261F"/>
    <w:rsid w:val="3A05411A"/>
    <w:rsid w:val="3A144266"/>
    <w:rsid w:val="3A166169"/>
    <w:rsid w:val="3A4B276B"/>
    <w:rsid w:val="3A5159A5"/>
    <w:rsid w:val="3A522E91"/>
    <w:rsid w:val="3A540FAF"/>
    <w:rsid w:val="3A9E1E1B"/>
    <w:rsid w:val="3A9E5381"/>
    <w:rsid w:val="3AA81CF9"/>
    <w:rsid w:val="3AAE1F91"/>
    <w:rsid w:val="3AB479F9"/>
    <w:rsid w:val="3AB95567"/>
    <w:rsid w:val="3AE25E88"/>
    <w:rsid w:val="3AF27506"/>
    <w:rsid w:val="3AF7763A"/>
    <w:rsid w:val="3AFA5A2C"/>
    <w:rsid w:val="3B093F01"/>
    <w:rsid w:val="3B0E0B42"/>
    <w:rsid w:val="3B123BC4"/>
    <w:rsid w:val="3B136343"/>
    <w:rsid w:val="3B1A1E3E"/>
    <w:rsid w:val="3B1B2893"/>
    <w:rsid w:val="3B3A25C8"/>
    <w:rsid w:val="3B453FA9"/>
    <w:rsid w:val="3B767008"/>
    <w:rsid w:val="3B7936C0"/>
    <w:rsid w:val="3B9479CE"/>
    <w:rsid w:val="3B9B6484"/>
    <w:rsid w:val="3BAC4987"/>
    <w:rsid w:val="3BB034AD"/>
    <w:rsid w:val="3BD40963"/>
    <w:rsid w:val="3BDF6B22"/>
    <w:rsid w:val="3BE06B6D"/>
    <w:rsid w:val="3BEE36EE"/>
    <w:rsid w:val="3BEE52AC"/>
    <w:rsid w:val="3BF90E2E"/>
    <w:rsid w:val="3C2D6708"/>
    <w:rsid w:val="3C425754"/>
    <w:rsid w:val="3C4F5647"/>
    <w:rsid w:val="3C655481"/>
    <w:rsid w:val="3C8106BE"/>
    <w:rsid w:val="3C8D4C08"/>
    <w:rsid w:val="3C925048"/>
    <w:rsid w:val="3C991E6D"/>
    <w:rsid w:val="3CA15CEE"/>
    <w:rsid w:val="3CD26089"/>
    <w:rsid w:val="3CE26841"/>
    <w:rsid w:val="3CEF2B4C"/>
    <w:rsid w:val="3D0009F2"/>
    <w:rsid w:val="3D021798"/>
    <w:rsid w:val="3D033CAA"/>
    <w:rsid w:val="3D054CA6"/>
    <w:rsid w:val="3D241788"/>
    <w:rsid w:val="3D2B740B"/>
    <w:rsid w:val="3D336592"/>
    <w:rsid w:val="3D3867CA"/>
    <w:rsid w:val="3D3B7369"/>
    <w:rsid w:val="3D41143D"/>
    <w:rsid w:val="3D51690E"/>
    <w:rsid w:val="3D755506"/>
    <w:rsid w:val="3D756554"/>
    <w:rsid w:val="3DA404B9"/>
    <w:rsid w:val="3DB1275B"/>
    <w:rsid w:val="3DC86902"/>
    <w:rsid w:val="3DCE3EF2"/>
    <w:rsid w:val="3DCE5FFB"/>
    <w:rsid w:val="3DD17512"/>
    <w:rsid w:val="3DD32EB1"/>
    <w:rsid w:val="3DEC7363"/>
    <w:rsid w:val="3E0E2FA1"/>
    <w:rsid w:val="3E131DF6"/>
    <w:rsid w:val="3E241086"/>
    <w:rsid w:val="3E262107"/>
    <w:rsid w:val="3E2F231C"/>
    <w:rsid w:val="3E373FC2"/>
    <w:rsid w:val="3E3E0135"/>
    <w:rsid w:val="3E4E4F8E"/>
    <w:rsid w:val="3E88587F"/>
    <w:rsid w:val="3E8D2AE6"/>
    <w:rsid w:val="3E980C51"/>
    <w:rsid w:val="3E992828"/>
    <w:rsid w:val="3E9B62FD"/>
    <w:rsid w:val="3E9F052A"/>
    <w:rsid w:val="3EAB2DE1"/>
    <w:rsid w:val="3EB25789"/>
    <w:rsid w:val="3ED65E4D"/>
    <w:rsid w:val="3EE154AB"/>
    <w:rsid w:val="3EF07738"/>
    <w:rsid w:val="3F0263F1"/>
    <w:rsid w:val="3F05793E"/>
    <w:rsid w:val="3F071886"/>
    <w:rsid w:val="3F1C3C62"/>
    <w:rsid w:val="3F1E56A1"/>
    <w:rsid w:val="3F42326C"/>
    <w:rsid w:val="3F8D06E0"/>
    <w:rsid w:val="3F967F1D"/>
    <w:rsid w:val="3F9A5BE4"/>
    <w:rsid w:val="3FA97599"/>
    <w:rsid w:val="3FD8377C"/>
    <w:rsid w:val="3FE122CC"/>
    <w:rsid w:val="3FF964F7"/>
    <w:rsid w:val="3FFF4AC9"/>
    <w:rsid w:val="40002954"/>
    <w:rsid w:val="400449A8"/>
    <w:rsid w:val="4015084B"/>
    <w:rsid w:val="401F1A57"/>
    <w:rsid w:val="401F1EE6"/>
    <w:rsid w:val="40202A6E"/>
    <w:rsid w:val="402750D0"/>
    <w:rsid w:val="40426C9C"/>
    <w:rsid w:val="404E7DF6"/>
    <w:rsid w:val="40687B07"/>
    <w:rsid w:val="406F1A6D"/>
    <w:rsid w:val="407C0796"/>
    <w:rsid w:val="408F6FBB"/>
    <w:rsid w:val="40A8592A"/>
    <w:rsid w:val="40BE22F3"/>
    <w:rsid w:val="40BF63E2"/>
    <w:rsid w:val="40D25BA4"/>
    <w:rsid w:val="40DA2890"/>
    <w:rsid w:val="40F06E00"/>
    <w:rsid w:val="41276A4E"/>
    <w:rsid w:val="41325E8C"/>
    <w:rsid w:val="4136753C"/>
    <w:rsid w:val="413E0F78"/>
    <w:rsid w:val="41400D39"/>
    <w:rsid w:val="414A79A5"/>
    <w:rsid w:val="414D19AF"/>
    <w:rsid w:val="416F2444"/>
    <w:rsid w:val="419E35D0"/>
    <w:rsid w:val="41A40C56"/>
    <w:rsid w:val="41AB7298"/>
    <w:rsid w:val="41B16E75"/>
    <w:rsid w:val="41CE053B"/>
    <w:rsid w:val="41D63CD2"/>
    <w:rsid w:val="41DC1B05"/>
    <w:rsid w:val="41E72C55"/>
    <w:rsid w:val="41EB6EB9"/>
    <w:rsid w:val="41F17F9F"/>
    <w:rsid w:val="41FA7F94"/>
    <w:rsid w:val="42057ABC"/>
    <w:rsid w:val="420D61F7"/>
    <w:rsid w:val="420F466B"/>
    <w:rsid w:val="421617BA"/>
    <w:rsid w:val="422529F3"/>
    <w:rsid w:val="422D4049"/>
    <w:rsid w:val="422E4A0F"/>
    <w:rsid w:val="42346DA9"/>
    <w:rsid w:val="42572A1A"/>
    <w:rsid w:val="425B505E"/>
    <w:rsid w:val="425C4D26"/>
    <w:rsid w:val="42787E95"/>
    <w:rsid w:val="427A3E60"/>
    <w:rsid w:val="428D2E3A"/>
    <w:rsid w:val="42A87D85"/>
    <w:rsid w:val="42D40AD3"/>
    <w:rsid w:val="42FE07BE"/>
    <w:rsid w:val="43033E31"/>
    <w:rsid w:val="432E1DEF"/>
    <w:rsid w:val="43340E24"/>
    <w:rsid w:val="434818F0"/>
    <w:rsid w:val="43481935"/>
    <w:rsid w:val="434D037C"/>
    <w:rsid w:val="43512D1E"/>
    <w:rsid w:val="43562779"/>
    <w:rsid w:val="436B0C7A"/>
    <w:rsid w:val="4386449B"/>
    <w:rsid w:val="438C3922"/>
    <w:rsid w:val="43901773"/>
    <w:rsid w:val="439C3744"/>
    <w:rsid w:val="439C48E4"/>
    <w:rsid w:val="43AA78E2"/>
    <w:rsid w:val="43D8411F"/>
    <w:rsid w:val="43D879CC"/>
    <w:rsid w:val="43DB2057"/>
    <w:rsid w:val="43EC40C6"/>
    <w:rsid w:val="43F40C12"/>
    <w:rsid w:val="440A6E25"/>
    <w:rsid w:val="440C7C3A"/>
    <w:rsid w:val="441C7B70"/>
    <w:rsid w:val="443B04F3"/>
    <w:rsid w:val="443D3800"/>
    <w:rsid w:val="443E6B9E"/>
    <w:rsid w:val="44475551"/>
    <w:rsid w:val="44593A3C"/>
    <w:rsid w:val="44694750"/>
    <w:rsid w:val="446A698B"/>
    <w:rsid w:val="44753E3B"/>
    <w:rsid w:val="447D0632"/>
    <w:rsid w:val="44881527"/>
    <w:rsid w:val="448A6CEA"/>
    <w:rsid w:val="44AD5FFE"/>
    <w:rsid w:val="44B11635"/>
    <w:rsid w:val="44C85CBF"/>
    <w:rsid w:val="44D62D94"/>
    <w:rsid w:val="44E14825"/>
    <w:rsid w:val="44E2234E"/>
    <w:rsid w:val="44F00FEA"/>
    <w:rsid w:val="44FF2326"/>
    <w:rsid w:val="450016F9"/>
    <w:rsid w:val="45005495"/>
    <w:rsid w:val="4526629B"/>
    <w:rsid w:val="4547154D"/>
    <w:rsid w:val="45752137"/>
    <w:rsid w:val="457671FF"/>
    <w:rsid w:val="4587597F"/>
    <w:rsid w:val="45912D49"/>
    <w:rsid w:val="45A52087"/>
    <w:rsid w:val="45A52B5B"/>
    <w:rsid w:val="45BF1DC5"/>
    <w:rsid w:val="45C21BB1"/>
    <w:rsid w:val="45CD7534"/>
    <w:rsid w:val="45D7656B"/>
    <w:rsid w:val="45E02A1B"/>
    <w:rsid w:val="45EC4278"/>
    <w:rsid w:val="45FB5124"/>
    <w:rsid w:val="45FF0414"/>
    <w:rsid w:val="46050FD0"/>
    <w:rsid w:val="46092E9B"/>
    <w:rsid w:val="4615590D"/>
    <w:rsid w:val="461918F3"/>
    <w:rsid w:val="461B0CF1"/>
    <w:rsid w:val="46371056"/>
    <w:rsid w:val="464B6B34"/>
    <w:rsid w:val="4664731E"/>
    <w:rsid w:val="467113E0"/>
    <w:rsid w:val="46721D2D"/>
    <w:rsid w:val="46742CDD"/>
    <w:rsid w:val="46804282"/>
    <w:rsid w:val="468728BA"/>
    <w:rsid w:val="468A127A"/>
    <w:rsid w:val="4690765A"/>
    <w:rsid w:val="46980783"/>
    <w:rsid w:val="46B13842"/>
    <w:rsid w:val="46BA1689"/>
    <w:rsid w:val="46BA77C6"/>
    <w:rsid w:val="46BB0940"/>
    <w:rsid w:val="46CA2138"/>
    <w:rsid w:val="46CD5836"/>
    <w:rsid w:val="46D309A0"/>
    <w:rsid w:val="46F30ECB"/>
    <w:rsid w:val="46FC62D9"/>
    <w:rsid w:val="46FE1B28"/>
    <w:rsid w:val="470E0A89"/>
    <w:rsid w:val="471836A6"/>
    <w:rsid w:val="471D3242"/>
    <w:rsid w:val="47280B39"/>
    <w:rsid w:val="47284F57"/>
    <w:rsid w:val="4733667F"/>
    <w:rsid w:val="474C207B"/>
    <w:rsid w:val="47570F35"/>
    <w:rsid w:val="477A0EB9"/>
    <w:rsid w:val="47821E19"/>
    <w:rsid w:val="479149C2"/>
    <w:rsid w:val="47915448"/>
    <w:rsid w:val="4797536B"/>
    <w:rsid w:val="479B4D1B"/>
    <w:rsid w:val="47D8382B"/>
    <w:rsid w:val="47E52E12"/>
    <w:rsid w:val="47F003EF"/>
    <w:rsid w:val="48097812"/>
    <w:rsid w:val="48112306"/>
    <w:rsid w:val="48181E4A"/>
    <w:rsid w:val="481A02A1"/>
    <w:rsid w:val="482805C2"/>
    <w:rsid w:val="483345E6"/>
    <w:rsid w:val="485615B9"/>
    <w:rsid w:val="48597B5F"/>
    <w:rsid w:val="48614BDF"/>
    <w:rsid w:val="48634388"/>
    <w:rsid w:val="486D1CD6"/>
    <w:rsid w:val="48720352"/>
    <w:rsid w:val="4879791E"/>
    <w:rsid w:val="488630D4"/>
    <w:rsid w:val="488931AA"/>
    <w:rsid w:val="488D7CF9"/>
    <w:rsid w:val="48A96733"/>
    <w:rsid w:val="48CB285D"/>
    <w:rsid w:val="48E12E5F"/>
    <w:rsid w:val="4910792D"/>
    <w:rsid w:val="491E12AA"/>
    <w:rsid w:val="49215222"/>
    <w:rsid w:val="492175E7"/>
    <w:rsid w:val="492679A3"/>
    <w:rsid w:val="49341628"/>
    <w:rsid w:val="49351D85"/>
    <w:rsid w:val="49360DF5"/>
    <w:rsid w:val="493D6621"/>
    <w:rsid w:val="494D1535"/>
    <w:rsid w:val="495A4780"/>
    <w:rsid w:val="495D59A8"/>
    <w:rsid w:val="495F1C4A"/>
    <w:rsid w:val="4967295E"/>
    <w:rsid w:val="49784C4E"/>
    <w:rsid w:val="49AB2FCF"/>
    <w:rsid w:val="49B6718B"/>
    <w:rsid w:val="49BE45AB"/>
    <w:rsid w:val="49DA438A"/>
    <w:rsid w:val="49FE1FE5"/>
    <w:rsid w:val="4A0E2253"/>
    <w:rsid w:val="4A3C0E38"/>
    <w:rsid w:val="4A445399"/>
    <w:rsid w:val="4A4C2904"/>
    <w:rsid w:val="4A4E44C9"/>
    <w:rsid w:val="4A4F5E3F"/>
    <w:rsid w:val="4A556325"/>
    <w:rsid w:val="4A705445"/>
    <w:rsid w:val="4A767041"/>
    <w:rsid w:val="4A7A03E8"/>
    <w:rsid w:val="4A803C85"/>
    <w:rsid w:val="4A9D2369"/>
    <w:rsid w:val="4AB344AE"/>
    <w:rsid w:val="4ABE720A"/>
    <w:rsid w:val="4ADF336F"/>
    <w:rsid w:val="4AF64A0D"/>
    <w:rsid w:val="4B092B52"/>
    <w:rsid w:val="4B0B1EE9"/>
    <w:rsid w:val="4B0C2784"/>
    <w:rsid w:val="4B0E4AE4"/>
    <w:rsid w:val="4B111B94"/>
    <w:rsid w:val="4B1406BC"/>
    <w:rsid w:val="4B171FC9"/>
    <w:rsid w:val="4B1819E4"/>
    <w:rsid w:val="4B1A5DA3"/>
    <w:rsid w:val="4B200D38"/>
    <w:rsid w:val="4B335861"/>
    <w:rsid w:val="4B46084A"/>
    <w:rsid w:val="4B660D4F"/>
    <w:rsid w:val="4B753972"/>
    <w:rsid w:val="4B7A13E7"/>
    <w:rsid w:val="4B8652A5"/>
    <w:rsid w:val="4BA24DFF"/>
    <w:rsid w:val="4BA66DC5"/>
    <w:rsid w:val="4BA74408"/>
    <w:rsid w:val="4BC90C18"/>
    <w:rsid w:val="4BCB1FA2"/>
    <w:rsid w:val="4BDA69B3"/>
    <w:rsid w:val="4BF738FA"/>
    <w:rsid w:val="4BFD340D"/>
    <w:rsid w:val="4C05015C"/>
    <w:rsid w:val="4C055148"/>
    <w:rsid w:val="4C350CBE"/>
    <w:rsid w:val="4C4720F9"/>
    <w:rsid w:val="4C533143"/>
    <w:rsid w:val="4C5348DE"/>
    <w:rsid w:val="4C58405D"/>
    <w:rsid w:val="4C633719"/>
    <w:rsid w:val="4C646F42"/>
    <w:rsid w:val="4C6E471F"/>
    <w:rsid w:val="4C701117"/>
    <w:rsid w:val="4C7E7392"/>
    <w:rsid w:val="4C7F0C92"/>
    <w:rsid w:val="4CB4368F"/>
    <w:rsid w:val="4CD94F46"/>
    <w:rsid w:val="4CE00BF8"/>
    <w:rsid w:val="4CEC78DE"/>
    <w:rsid w:val="4CF1128C"/>
    <w:rsid w:val="4CF96135"/>
    <w:rsid w:val="4CFA64F9"/>
    <w:rsid w:val="4CFB7353"/>
    <w:rsid w:val="4D191883"/>
    <w:rsid w:val="4D1C0CF5"/>
    <w:rsid w:val="4D1E13CA"/>
    <w:rsid w:val="4D2234EA"/>
    <w:rsid w:val="4D2A6F58"/>
    <w:rsid w:val="4D2F506A"/>
    <w:rsid w:val="4D36798D"/>
    <w:rsid w:val="4D4C1117"/>
    <w:rsid w:val="4D510588"/>
    <w:rsid w:val="4D5277E9"/>
    <w:rsid w:val="4D5B5624"/>
    <w:rsid w:val="4D6A4A9B"/>
    <w:rsid w:val="4D817702"/>
    <w:rsid w:val="4D833890"/>
    <w:rsid w:val="4D9B5E6E"/>
    <w:rsid w:val="4DB962F4"/>
    <w:rsid w:val="4DE40BEB"/>
    <w:rsid w:val="4DE920B1"/>
    <w:rsid w:val="4DF541D9"/>
    <w:rsid w:val="4DFE03D6"/>
    <w:rsid w:val="4E013727"/>
    <w:rsid w:val="4E043AD9"/>
    <w:rsid w:val="4E0567E5"/>
    <w:rsid w:val="4E2B7E2E"/>
    <w:rsid w:val="4E303AE4"/>
    <w:rsid w:val="4E3D1100"/>
    <w:rsid w:val="4E472FC7"/>
    <w:rsid w:val="4E493F37"/>
    <w:rsid w:val="4E514E76"/>
    <w:rsid w:val="4E611624"/>
    <w:rsid w:val="4E64619F"/>
    <w:rsid w:val="4E66598E"/>
    <w:rsid w:val="4E726F19"/>
    <w:rsid w:val="4E754EA7"/>
    <w:rsid w:val="4E8425D3"/>
    <w:rsid w:val="4E8C7B76"/>
    <w:rsid w:val="4E8F0E43"/>
    <w:rsid w:val="4E955727"/>
    <w:rsid w:val="4E970FD2"/>
    <w:rsid w:val="4E9F73EB"/>
    <w:rsid w:val="4EA37A1B"/>
    <w:rsid w:val="4EAC61D2"/>
    <w:rsid w:val="4EB82E43"/>
    <w:rsid w:val="4EC44F28"/>
    <w:rsid w:val="4ECC2736"/>
    <w:rsid w:val="4ECD0950"/>
    <w:rsid w:val="4ED64217"/>
    <w:rsid w:val="4EDA6447"/>
    <w:rsid w:val="4EE35590"/>
    <w:rsid w:val="4EEE280A"/>
    <w:rsid w:val="4EFE0B90"/>
    <w:rsid w:val="4F070169"/>
    <w:rsid w:val="4F1722C9"/>
    <w:rsid w:val="4F2D2633"/>
    <w:rsid w:val="4F303128"/>
    <w:rsid w:val="4F415BD8"/>
    <w:rsid w:val="4F4B0A3D"/>
    <w:rsid w:val="4F6C5DD6"/>
    <w:rsid w:val="4F7D4812"/>
    <w:rsid w:val="4F8C7B8C"/>
    <w:rsid w:val="4F917599"/>
    <w:rsid w:val="4FB364CC"/>
    <w:rsid w:val="4FFF17FD"/>
    <w:rsid w:val="50092FE3"/>
    <w:rsid w:val="500D6D39"/>
    <w:rsid w:val="500F769F"/>
    <w:rsid w:val="5026623F"/>
    <w:rsid w:val="502B7ECC"/>
    <w:rsid w:val="503079F7"/>
    <w:rsid w:val="503361E2"/>
    <w:rsid w:val="503E3FB3"/>
    <w:rsid w:val="50405D11"/>
    <w:rsid w:val="5044572F"/>
    <w:rsid w:val="504D58F0"/>
    <w:rsid w:val="50687B6D"/>
    <w:rsid w:val="506A636E"/>
    <w:rsid w:val="50802BF4"/>
    <w:rsid w:val="50830DEA"/>
    <w:rsid w:val="50A212EA"/>
    <w:rsid w:val="50AF484D"/>
    <w:rsid w:val="50B93929"/>
    <w:rsid w:val="50BA553A"/>
    <w:rsid w:val="50DB74B2"/>
    <w:rsid w:val="50E4480B"/>
    <w:rsid w:val="50E61ECC"/>
    <w:rsid w:val="50E65F9D"/>
    <w:rsid w:val="50F17F36"/>
    <w:rsid w:val="50F8080E"/>
    <w:rsid w:val="51114275"/>
    <w:rsid w:val="51196DF3"/>
    <w:rsid w:val="51223140"/>
    <w:rsid w:val="5127078D"/>
    <w:rsid w:val="51401400"/>
    <w:rsid w:val="5144710F"/>
    <w:rsid w:val="516B2E41"/>
    <w:rsid w:val="517F1A87"/>
    <w:rsid w:val="518C286A"/>
    <w:rsid w:val="519F529C"/>
    <w:rsid w:val="51A47972"/>
    <w:rsid w:val="51B34978"/>
    <w:rsid w:val="51C00EB1"/>
    <w:rsid w:val="51C77F8D"/>
    <w:rsid w:val="51D61B64"/>
    <w:rsid w:val="51F929CF"/>
    <w:rsid w:val="51FB3FBE"/>
    <w:rsid w:val="5202407F"/>
    <w:rsid w:val="522D67B1"/>
    <w:rsid w:val="523A3A43"/>
    <w:rsid w:val="52457B71"/>
    <w:rsid w:val="525E4B56"/>
    <w:rsid w:val="527E65DE"/>
    <w:rsid w:val="529178D3"/>
    <w:rsid w:val="52E40AA6"/>
    <w:rsid w:val="52E45FBD"/>
    <w:rsid w:val="52EB471F"/>
    <w:rsid w:val="52F04A09"/>
    <w:rsid w:val="52F5025F"/>
    <w:rsid w:val="52FF4251"/>
    <w:rsid w:val="531F09D0"/>
    <w:rsid w:val="53286785"/>
    <w:rsid w:val="533301B5"/>
    <w:rsid w:val="53400AE4"/>
    <w:rsid w:val="53451165"/>
    <w:rsid w:val="53457CC1"/>
    <w:rsid w:val="5359062B"/>
    <w:rsid w:val="535B1EC6"/>
    <w:rsid w:val="53720557"/>
    <w:rsid w:val="5384051F"/>
    <w:rsid w:val="53A76ABE"/>
    <w:rsid w:val="53AD162B"/>
    <w:rsid w:val="53B47844"/>
    <w:rsid w:val="53BC1E90"/>
    <w:rsid w:val="53C76983"/>
    <w:rsid w:val="53CF5E0E"/>
    <w:rsid w:val="53E76DD3"/>
    <w:rsid w:val="53ED3EA8"/>
    <w:rsid w:val="54004A7F"/>
    <w:rsid w:val="54034B1B"/>
    <w:rsid w:val="540421FF"/>
    <w:rsid w:val="540F7F16"/>
    <w:rsid w:val="54671732"/>
    <w:rsid w:val="54780964"/>
    <w:rsid w:val="549057E8"/>
    <w:rsid w:val="549A6073"/>
    <w:rsid w:val="54A9038C"/>
    <w:rsid w:val="54B73511"/>
    <w:rsid w:val="54D03803"/>
    <w:rsid w:val="54D11F83"/>
    <w:rsid w:val="54D13663"/>
    <w:rsid w:val="54ED56ED"/>
    <w:rsid w:val="55037002"/>
    <w:rsid w:val="550B51BB"/>
    <w:rsid w:val="55133807"/>
    <w:rsid w:val="5518575C"/>
    <w:rsid w:val="551E6D22"/>
    <w:rsid w:val="552155AF"/>
    <w:rsid w:val="554A6D73"/>
    <w:rsid w:val="55560C7D"/>
    <w:rsid w:val="5559296D"/>
    <w:rsid w:val="556733EF"/>
    <w:rsid w:val="556E20A7"/>
    <w:rsid w:val="55820290"/>
    <w:rsid w:val="558C704F"/>
    <w:rsid w:val="558E44C6"/>
    <w:rsid w:val="55946B00"/>
    <w:rsid w:val="559604AE"/>
    <w:rsid w:val="55980F25"/>
    <w:rsid w:val="55B201E9"/>
    <w:rsid w:val="55BC777A"/>
    <w:rsid w:val="55D06E56"/>
    <w:rsid w:val="55D83DFE"/>
    <w:rsid w:val="55E32466"/>
    <w:rsid w:val="55E65ACF"/>
    <w:rsid w:val="560420CF"/>
    <w:rsid w:val="56143B54"/>
    <w:rsid w:val="561D0444"/>
    <w:rsid w:val="562F567D"/>
    <w:rsid w:val="56490390"/>
    <w:rsid w:val="56515F4D"/>
    <w:rsid w:val="56686F7D"/>
    <w:rsid w:val="566D3F8F"/>
    <w:rsid w:val="56727701"/>
    <w:rsid w:val="56826AF8"/>
    <w:rsid w:val="5692232E"/>
    <w:rsid w:val="56947F13"/>
    <w:rsid w:val="56963F50"/>
    <w:rsid w:val="56B6394A"/>
    <w:rsid w:val="56BB6AE9"/>
    <w:rsid w:val="56C14121"/>
    <w:rsid w:val="56C37182"/>
    <w:rsid w:val="56DC74E4"/>
    <w:rsid w:val="56E35063"/>
    <w:rsid w:val="56ED70C5"/>
    <w:rsid w:val="56F43C0E"/>
    <w:rsid w:val="56FE74C6"/>
    <w:rsid w:val="56FF0A9A"/>
    <w:rsid w:val="571001F5"/>
    <w:rsid w:val="57116D73"/>
    <w:rsid w:val="57244348"/>
    <w:rsid w:val="5742792E"/>
    <w:rsid w:val="57581E22"/>
    <w:rsid w:val="575A077A"/>
    <w:rsid w:val="576B73F4"/>
    <w:rsid w:val="579171AD"/>
    <w:rsid w:val="57CC26A5"/>
    <w:rsid w:val="57CE1982"/>
    <w:rsid w:val="57ED22A6"/>
    <w:rsid w:val="57EF0456"/>
    <w:rsid w:val="58147F01"/>
    <w:rsid w:val="5823597D"/>
    <w:rsid w:val="58401340"/>
    <w:rsid w:val="58454FC3"/>
    <w:rsid w:val="585855BB"/>
    <w:rsid w:val="58605F81"/>
    <w:rsid w:val="586250B1"/>
    <w:rsid w:val="58657E46"/>
    <w:rsid w:val="586E1FFA"/>
    <w:rsid w:val="5872168C"/>
    <w:rsid w:val="58894C63"/>
    <w:rsid w:val="589A6D26"/>
    <w:rsid w:val="58B57AF3"/>
    <w:rsid w:val="58E4124D"/>
    <w:rsid w:val="58E538E9"/>
    <w:rsid w:val="58E75F68"/>
    <w:rsid w:val="58EC2A3A"/>
    <w:rsid w:val="58F5475B"/>
    <w:rsid w:val="58F83D78"/>
    <w:rsid w:val="58F930B8"/>
    <w:rsid w:val="594149F7"/>
    <w:rsid w:val="594C1E53"/>
    <w:rsid w:val="59587B26"/>
    <w:rsid w:val="597F3E5C"/>
    <w:rsid w:val="599A0E4A"/>
    <w:rsid w:val="59A066E5"/>
    <w:rsid w:val="59BF2E06"/>
    <w:rsid w:val="59C11AFB"/>
    <w:rsid w:val="59C714D6"/>
    <w:rsid w:val="59CB090B"/>
    <w:rsid w:val="59D02222"/>
    <w:rsid w:val="59E54DC2"/>
    <w:rsid w:val="59F524B2"/>
    <w:rsid w:val="59F93F0D"/>
    <w:rsid w:val="5A0B0745"/>
    <w:rsid w:val="5A0B5888"/>
    <w:rsid w:val="5A185155"/>
    <w:rsid w:val="5A1957B9"/>
    <w:rsid w:val="5A1A71AE"/>
    <w:rsid w:val="5A2A2127"/>
    <w:rsid w:val="5A453997"/>
    <w:rsid w:val="5A54175D"/>
    <w:rsid w:val="5A5747C4"/>
    <w:rsid w:val="5A5F33F9"/>
    <w:rsid w:val="5A8E4D7A"/>
    <w:rsid w:val="5AA42920"/>
    <w:rsid w:val="5AB67572"/>
    <w:rsid w:val="5AC226DC"/>
    <w:rsid w:val="5AC40B93"/>
    <w:rsid w:val="5AC55C85"/>
    <w:rsid w:val="5ACD1CFC"/>
    <w:rsid w:val="5AD14479"/>
    <w:rsid w:val="5AD22DCE"/>
    <w:rsid w:val="5AD31606"/>
    <w:rsid w:val="5AE02E21"/>
    <w:rsid w:val="5AF55A61"/>
    <w:rsid w:val="5AFA65F2"/>
    <w:rsid w:val="5B033821"/>
    <w:rsid w:val="5B0768B1"/>
    <w:rsid w:val="5B29671E"/>
    <w:rsid w:val="5B4A679F"/>
    <w:rsid w:val="5B564B89"/>
    <w:rsid w:val="5B827FF9"/>
    <w:rsid w:val="5B877A93"/>
    <w:rsid w:val="5B8B0574"/>
    <w:rsid w:val="5B8C5123"/>
    <w:rsid w:val="5B911AC1"/>
    <w:rsid w:val="5B940F00"/>
    <w:rsid w:val="5B972541"/>
    <w:rsid w:val="5BAD0D11"/>
    <w:rsid w:val="5BB252CB"/>
    <w:rsid w:val="5BC40A59"/>
    <w:rsid w:val="5BC635AD"/>
    <w:rsid w:val="5BD46786"/>
    <w:rsid w:val="5BE2274D"/>
    <w:rsid w:val="5C1C049F"/>
    <w:rsid w:val="5C220AC1"/>
    <w:rsid w:val="5C262FBB"/>
    <w:rsid w:val="5C4A2E2C"/>
    <w:rsid w:val="5C4C5A3E"/>
    <w:rsid w:val="5C5B0A3A"/>
    <w:rsid w:val="5C5C3C97"/>
    <w:rsid w:val="5C66614F"/>
    <w:rsid w:val="5C716251"/>
    <w:rsid w:val="5C8C13C6"/>
    <w:rsid w:val="5C8C5925"/>
    <w:rsid w:val="5CA03EF6"/>
    <w:rsid w:val="5CBA6C71"/>
    <w:rsid w:val="5CD31F1B"/>
    <w:rsid w:val="5CDB6A29"/>
    <w:rsid w:val="5CEA77BE"/>
    <w:rsid w:val="5CF56896"/>
    <w:rsid w:val="5CFF3CD0"/>
    <w:rsid w:val="5D0C201E"/>
    <w:rsid w:val="5D1C1D67"/>
    <w:rsid w:val="5D2F2DC6"/>
    <w:rsid w:val="5D4F6407"/>
    <w:rsid w:val="5D711E76"/>
    <w:rsid w:val="5D763067"/>
    <w:rsid w:val="5D7D7520"/>
    <w:rsid w:val="5D8876B6"/>
    <w:rsid w:val="5D8F6720"/>
    <w:rsid w:val="5D9666CF"/>
    <w:rsid w:val="5DA6397E"/>
    <w:rsid w:val="5DB578CB"/>
    <w:rsid w:val="5DB67E6B"/>
    <w:rsid w:val="5DBE6E84"/>
    <w:rsid w:val="5DCD79E5"/>
    <w:rsid w:val="5DE37578"/>
    <w:rsid w:val="5DF2536C"/>
    <w:rsid w:val="5E0954C6"/>
    <w:rsid w:val="5E20718F"/>
    <w:rsid w:val="5E240758"/>
    <w:rsid w:val="5E2A5FBC"/>
    <w:rsid w:val="5E2E14E3"/>
    <w:rsid w:val="5E470393"/>
    <w:rsid w:val="5E592FE7"/>
    <w:rsid w:val="5E6421C0"/>
    <w:rsid w:val="5E895828"/>
    <w:rsid w:val="5E8E189A"/>
    <w:rsid w:val="5E9576AC"/>
    <w:rsid w:val="5E9A7E24"/>
    <w:rsid w:val="5E9F14D5"/>
    <w:rsid w:val="5EAD7D96"/>
    <w:rsid w:val="5ED75D14"/>
    <w:rsid w:val="5EDA5136"/>
    <w:rsid w:val="5F064A8C"/>
    <w:rsid w:val="5F1112A7"/>
    <w:rsid w:val="5F1B0A76"/>
    <w:rsid w:val="5F247325"/>
    <w:rsid w:val="5F4340D6"/>
    <w:rsid w:val="5F9B2A0E"/>
    <w:rsid w:val="5FA22C90"/>
    <w:rsid w:val="5FBD26C3"/>
    <w:rsid w:val="5FCC1956"/>
    <w:rsid w:val="5FD04022"/>
    <w:rsid w:val="5FD066A5"/>
    <w:rsid w:val="5FD259CB"/>
    <w:rsid w:val="5FD30F8E"/>
    <w:rsid w:val="5FDA0DB0"/>
    <w:rsid w:val="5FFB0754"/>
    <w:rsid w:val="5FFD118D"/>
    <w:rsid w:val="60162C9B"/>
    <w:rsid w:val="601C2504"/>
    <w:rsid w:val="602B0103"/>
    <w:rsid w:val="602B3A5E"/>
    <w:rsid w:val="6043045D"/>
    <w:rsid w:val="604D08F1"/>
    <w:rsid w:val="6056136D"/>
    <w:rsid w:val="606476A6"/>
    <w:rsid w:val="606F5652"/>
    <w:rsid w:val="60772FAB"/>
    <w:rsid w:val="60AC75EC"/>
    <w:rsid w:val="60BB429C"/>
    <w:rsid w:val="60C32F12"/>
    <w:rsid w:val="60DC4B05"/>
    <w:rsid w:val="61057B20"/>
    <w:rsid w:val="61111BAD"/>
    <w:rsid w:val="61167D12"/>
    <w:rsid w:val="613379AC"/>
    <w:rsid w:val="613532C7"/>
    <w:rsid w:val="615D325F"/>
    <w:rsid w:val="615E06BD"/>
    <w:rsid w:val="616906E8"/>
    <w:rsid w:val="617310D8"/>
    <w:rsid w:val="61782D2A"/>
    <w:rsid w:val="617919DF"/>
    <w:rsid w:val="617C0638"/>
    <w:rsid w:val="618854B2"/>
    <w:rsid w:val="618B7F1F"/>
    <w:rsid w:val="61AD2D3D"/>
    <w:rsid w:val="61B36B7F"/>
    <w:rsid w:val="61B60ADE"/>
    <w:rsid w:val="61BE6C37"/>
    <w:rsid w:val="61D83DE0"/>
    <w:rsid w:val="61D93BB1"/>
    <w:rsid w:val="61DA7677"/>
    <w:rsid w:val="61DB624B"/>
    <w:rsid w:val="61ED7EC0"/>
    <w:rsid w:val="61F01753"/>
    <w:rsid w:val="62100E3B"/>
    <w:rsid w:val="6242258F"/>
    <w:rsid w:val="62520B23"/>
    <w:rsid w:val="62657507"/>
    <w:rsid w:val="62683B7A"/>
    <w:rsid w:val="626E15E4"/>
    <w:rsid w:val="6286240B"/>
    <w:rsid w:val="6295415A"/>
    <w:rsid w:val="629E0824"/>
    <w:rsid w:val="62A014C9"/>
    <w:rsid w:val="62A27950"/>
    <w:rsid w:val="62A93EEE"/>
    <w:rsid w:val="62AD284C"/>
    <w:rsid w:val="62B63790"/>
    <w:rsid w:val="62BB4F8D"/>
    <w:rsid w:val="62DB08EA"/>
    <w:rsid w:val="62F9496A"/>
    <w:rsid w:val="62FA4712"/>
    <w:rsid w:val="63175555"/>
    <w:rsid w:val="63236182"/>
    <w:rsid w:val="63301F9F"/>
    <w:rsid w:val="635314D8"/>
    <w:rsid w:val="636D5659"/>
    <w:rsid w:val="637D32CE"/>
    <w:rsid w:val="638637A8"/>
    <w:rsid w:val="63874699"/>
    <w:rsid w:val="639E68C5"/>
    <w:rsid w:val="639F0BDC"/>
    <w:rsid w:val="63BD62E3"/>
    <w:rsid w:val="63BD78DE"/>
    <w:rsid w:val="63BF2C36"/>
    <w:rsid w:val="63BF7F08"/>
    <w:rsid w:val="63C55212"/>
    <w:rsid w:val="63C855B8"/>
    <w:rsid w:val="63D44F56"/>
    <w:rsid w:val="63DD204E"/>
    <w:rsid w:val="63DE61CB"/>
    <w:rsid w:val="63F161BA"/>
    <w:rsid w:val="63F82712"/>
    <w:rsid w:val="63F962F3"/>
    <w:rsid w:val="64025010"/>
    <w:rsid w:val="64047308"/>
    <w:rsid w:val="64091A9B"/>
    <w:rsid w:val="6409310F"/>
    <w:rsid w:val="64136739"/>
    <w:rsid w:val="64243382"/>
    <w:rsid w:val="64251CE7"/>
    <w:rsid w:val="64302C5C"/>
    <w:rsid w:val="64387603"/>
    <w:rsid w:val="64464261"/>
    <w:rsid w:val="644B1CE8"/>
    <w:rsid w:val="644F49F3"/>
    <w:rsid w:val="645B6252"/>
    <w:rsid w:val="64645254"/>
    <w:rsid w:val="646D353B"/>
    <w:rsid w:val="648A2B33"/>
    <w:rsid w:val="649233B1"/>
    <w:rsid w:val="649A0400"/>
    <w:rsid w:val="64C7587A"/>
    <w:rsid w:val="64D0264C"/>
    <w:rsid w:val="64DC66D1"/>
    <w:rsid w:val="64F1347C"/>
    <w:rsid w:val="651A2A7F"/>
    <w:rsid w:val="651F470F"/>
    <w:rsid w:val="652641EC"/>
    <w:rsid w:val="65323AE1"/>
    <w:rsid w:val="653B66F5"/>
    <w:rsid w:val="653C4D83"/>
    <w:rsid w:val="653E5751"/>
    <w:rsid w:val="65626DD0"/>
    <w:rsid w:val="65817887"/>
    <w:rsid w:val="658353C9"/>
    <w:rsid w:val="65914CB1"/>
    <w:rsid w:val="659C5AA5"/>
    <w:rsid w:val="65A54F9A"/>
    <w:rsid w:val="65AD71E3"/>
    <w:rsid w:val="65B764DD"/>
    <w:rsid w:val="65BB4DD1"/>
    <w:rsid w:val="65BF6A32"/>
    <w:rsid w:val="65C219D8"/>
    <w:rsid w:val="65E8558B"/>
    <w:rsid w:val="66047B51"/>
    <w:rsid w:val="66075342"/>
    <w:rsid w:val="66137C67"/>
    <w:rsid w:val="663B6BA4"/>
    <w:rsid w:val="66666BA8"/>
    <w:rsid w:val="668D3498"/>
    <w:rsid w:val="66946BB2"/>
    <w:rsid w:val="66A25599"/>
    <w:rsid w:val="66A52026"/>
    <w:rsid w:val="66AE78A3"/>
    <w:rsid w:val="66BB270A"/>
    <w:rsid w:val="66D838B4"/>
    <w:rsid w:val="66DE1D65"/>
    <w:rsid w:val="66DE2E3D"/>
    <w:rsid w:val="66E00134"/>
    <w:rsid w:val="66F9196B"/>
    <w:rsid w:val="670A2386"/>
    <w:rsid w:val="6712284B"/>
    <w:rsid w:val="671251ED"/>
    <w:rsid w:val="673064DC"/>
    <w:rsid w:val="67325224"/>
    <w:rsid w:val="67332638"/>
    <w:rsid w:val="673C02CA"/>
    <w:rsid w:val="675D3A01"/>
    <w:rsid w:val="675E5521"/>
    <w:rsid w:val="675E5803"/>
    <w:rsid w:val="677E7A5B"/>
    <w:rsid w:val="678A49E6"/>
    <w:rsid w:val="678F102B"/>
    <w:rsid w:val="67B316D7"/>
    <w:rsid w:val="67B41F73"/>
    <w:rsid w:val="67B44E59"/>
    <w:rsid w:val="67B75427"/>
    <w:rsid w:val="67BE6EEB"/>
    <w:rsid w:val="67DF7CA6"/>
    <w:rsid w:val="67EA0B4E"/>
    <w:rsid w:val="67F53CA0"/>
    <w:rsid w:val="67F96247"/>
    <w:rsid w:val="67FA7442"/>
    <w:rsid w:val="68161F72"/>
    <w:rsid w:val="681E66C7"/>
    <w:rsid w:val="684706DC"/>
    <w:rsid w:val="68551910"/>
    <w:rsid w:val="685E57EF"/>
    <w:rsid w:val="685F24EF"/>
    <w:rsid w:val="68600463"/>
    <w:rsid w:val="68836D97"/>
    <w:rsid w:val="688D15E8"/>
    <w:rsid w:val="68A978E3"/>
    <w:rsid w:val="68BC41C3"/>
    <w:rsid w:val="68C0092A"/>
    <w:rsid w:val="68C83EA9"/>
    <w:rsid w:val="68D57074"/>
    <w:rsid w:val="68FD12A5"/>
    <w:rsid w:val="68FF7CAA"/>
    <w:rsid w:val="690A140B"/>
    <w:rsid w:val="690C0B94"/>
    <w:rsid w:val="6911232D"/>
    <w:rsid w:val="69213B67"/>
    <w:rsid w:val="692E25F7"/>
    <w:rsid w:val="69372821"/>
    <w:rsid w:val="694F67F4"/>
    <w:rsid w:val="695E1B11"/>
    <w:rsid w:val="69717F6C"/>
    <w:rsid w:val="69721D76"/>
    <w:rsid w:val="697803C0"/>
    <w:rsid w:val="698B380B"/>
    <w:rsid w:val="6992547E"/>
    <w:rsid w:val="69967F82"/>
    <w:rsid w:val="699B2F51"/>
    <w:rsid w:val="69A523EB"/>
    <w:rsid w:val="69AC182E"/>
    <w:rsid w:val="69B576AC"/>
    <w:rsid w:val="69BA6333"/>
    <w:rsid w:val="69C84B6E"/>
    <w:rsid w:val="69D34344"/>
    <w:rsid w:val="69D518D6"/>
    <w:rsid w:val="69E76B44"/>
    <w:rsid w:val="69EA2C7C"/>
    <w:rsid w:val="69EA5BDA"/>
    <w:rsid w:val="6A0262BB"/>
    <w:rsid w:val="6A0479AA"/>
    <w:rsid w:val="6A0C375F"/>
    <w:rsid w:val="6A0C47CE"/>
    <w:rsid w:val="6A197F2D"/>
    <w:rsid w:val="6A237F41"/>
    <w:rsid w:val="6A350B54"/>
    <w:rsid w:val="6A380CC6"/>
    <w:rsid w:val="6A4D33C9"/>
    <w:rsid w:val="6A575CEE"/>
    <w:rsid w:val="6A5E5C04"/>
    <w:rsid w:val="6A656367"/>
    <w:rsid w:val="6A6B1D41"/>
    <w:rsid w:val="6A90169D"/>
    <w:rsid w:val="6AAE2CF0"/>
    <w:rsid w:val="6ABE00D4"/>
    <w:rsid w:val="6ABF7B2C"/>
    <w:rsid w:val="6AD717C8"/>
    <w:rsid w:val="6AE14FCD"/>
    <w:rsid w:val="6B222C9E"/>
    <w:rsid w:val="6B224CDE"/>
    <w:rsid w:val="6B2B1E0C"/>
    <w:rsid w:val="6B3F40EC"/>
    <w:rsid w:val="6B521360"/>
    <w:rsid w:val="6B534E54"/>
    <w:rsid w:val="6B621DE0"/>
    <w:rsid w:val="6B653B67"/>
    <w:rsid w:val="6B6B5493"/>
    <w:rsid w:val="6B6C56E8"/>
    <w:rsid w:val="6B6F242B"/>
    <w:rsid w:val="6B733AC7"/>
    <w:rsid w:val="6B774F56"/>
    <w:rsid w:val="6B7B4FDF"/>
    <w:rsid w:val="6B9069A8"/>
    <w:rsid w:val="6B941B9A"/>
    <w:rsid w:val="6BAB79FF"/>
    <w:rsid w:val="6BB43231"/>
    <w:rsid w:val="6BD024E3"/>
    <w:rsid w:val="6BE01AB2"/>
    <w:rsid w:val="6BE745E4"/>
    <w:rsid w:val="6BEC4214"/>
    <w:rsid w:val="6BFE6239"/>
    <w:rsid w:val="6C193A2F"/>
    <w:rsid w:val="6C354740"/>
    <w:rsid w:val="6C384417"/>
    <w:rsid w:val="6C4674EB"/>
    <w:rsid w:val="6C4B1B1F"/>
    <w:rsid w:val="6C4C2888"/>
    <w:rsid w:val="6C680751"/>
    <w:rsid w:val="6C692D20"/>
    <w:rsid w:val="6C780F2F"/>
    <w:rsid w:val="6C790680"/>
    <w:rsid w:val="6C7A1595"/>
    <w:rsid w:val="6C941021"/>
    <w:rsid w:val="6CAE0123"/>
    <w:rsid w:val="6CC53454"/>
    <w:rsid w:val="6CD33E44"/>
    <w:rsid w:val="6CFF5FCB"/>
    <w:rsid w:val="6D0A30E4"/>
    <w:rsid w:val="6D755425"/>
    <w:rsid w:val="6D794065"/>
    <w:rsid w:val="6D7D476C"/>
    <w:rsid w:val="6D8140E1"/>
    <w:rsid w:val="6D8247E6"/>
    <w:rsid w:val="6D8B48BF"/>
    <w:rsid w:val="6D8F78A9"/>
    <w:rsid w:val="6D9554E3"/>
    <w:rsid w:val="6D9774A7"/>
    <w:rsid w:val="6DA11347"/>
    <w:rsid w:val="6DA976EA"/>
    <w:rsid w:val="6DB1666C"/>
    <w:rsid w:val="6DB63B7F"/>
    <w:rsid w:val="6DC46BA7"/>
    <w:rsid w:val="6DC61D35"/>
    <w:rsid w:val="6DC83CF3"/>
    <w:rsid w:val="6DCA0C3E"/>
    <w:rsid w:val="6DD718BE"/>
    <w:rsid w:val="6DDF59C5"/>
    <w:rsid w:val="6DE82546"/>
    <w:rsid w:val="6E090E90"/>
    <w:rsid w:val="6E0E6CB7"/>
    <w:rsid w:val="6E4A71DC"/>
    <w:rsid w:val="6E554B7B"/>
    <w:rsid w:val="6E657FDD"/>
    <w:rsid w:val="6E89387B"/>
    <w:rsid w:val="6E8D62F0"/>
    <w:rsid w:val="6E9818DE"/>
    <w:rsid w:val="6E9B1171"/>
    <w:rsid w:val="6EA4353B"/>
    <w:rsid w:val="6EBE20CD"/>
    <w:rsid w:val="6EC261DE"/>
    <w:rsid w:val="6EE10EA9"/>
    <w:rsid w:val="6EE61637"/>
    <w:rsid w:val="6EEB0DA0"/>
    <w:rsid w:val="6EEE433D"/>
    <w:rsid w:val="6EF4115F"/>
    <w:rsid w:val="6EF500E5"/>
    <w:rsid w:val="6F022A5F"/>
    <w:rsid w:val="6F033ECB"/>
    <w:rsid w:val="6F170AC8"/>
    <w:rsid w:val="6F474BE2"/>
    <w:rsid w:val="6F554985"/>
    <w:rsid w:val="6F6558B9"/>
    <w:rsid w:val="6F8045C4"/>
    <w:rsid w:val="6F8B51BF"/>
    <w:rsid w:val="6FA13639"/>
    <w:rsid w:val="6FA17668"/>
    <w:rsid w:val="6FC02F41"/>
    <w:rsid w:val="6FE77D15"/>
    <w:rsid w:val="6FEB2554"/>
    <w:rsid w:val="6FF134A5"/>
    <w:rsid w:val="6FFD6DA1"/>
    <w:rsid w:val="700127D6"/>
    <w:rsid w:val="701309BE"/>
    <w:rsid w:val="7017010D"/>
    <w:rsid w:val="70180B1D"/>
    <w:rsid w:val="701A38E8"/>
    <w:rsid w:val="701A51AE"/>
    <w:rsid w:val="70457EFC"/>
    <w:rsid w:val="705A09A0"/>
    <w:rsid w:val="705E45AF"/>
    <w:rsid w:val="708131C6"/>
    <w:rsid w:val="708778F5"/>
    <w:rsid w:val="708B2A5F"/>
    <w:rsid w:val="708C4931"/>
    <w:rsid w:val="70900A76"/>
    <w:rsid w:val="70974548"/>
    <w:rsid w:val="709A600B"/>
    <w:rsid w:val="70A0426F"/>
    <w:rsid w:val="70A41A11"/>
    <w:rsid w:val="70B916E4"/>
    <w:rsid w:val="70D46B98"/>
    <w:rsid w:val="70DB5978"/>
    <w:rsid w:val="70DD3484"/>
    <w:rsid w:val="70E87AA3"/>
    <w:rsid w:val="70F50357"/>
    <w:rsid w:val="711D6143"/>
    <w:rsid w:val="712778D9"/>
    <w:rsid w:val="712810D9"/>
    <w:rsid w:val="71335D5C"/>
    <w:rsid w:val="713B362C"/>
    <w:rsid w:val="714E7D8A"/>
    <w:rsid w:val="71525639"/>
    <w:rsid w:val="71551F60"/>
    <w:rsid w:val="71572A69"/>
    <w:rsid w:val="715952C1"/>
    <w:rsid w:val="715B1FFC"/>
    <w:rsid w:val="715B76C0"/>
    <w:rsid w:val="717E5195"/>
    <w:rsid w:val="718B5BEC"/>
    <w:rsid w:val="71A757C9"/>
    <w:rsid w:val="71A97D06"/>
    <w:rsid w:val="71B81E63"/>
    <w:rsid w:val="71C04911"/>
    <w:rsid w:val="71CE5C37"/>
    <w:rsid w:val="71E6427C"/>
    <w:rsid w:val="71F568AD"/>
    <w:rsid w:val="71F658EA"/>
    <w:rsid w:val="71FD1D7F"/>
    <w:rsid w:val="72267214"/>
    <w:rsid w:val="72284B73"/>
    <w:rsid w:val="722F00F3"/>
    <w:rsid w:val="72331DEC"/>
    <w:rsid w:val="723363B3"/>
    <w:rsid w:val="723401FA"/>
    <w:rsid w:val="72484DE8"/>
    <w:rsid w:val="72584503"/>
    <w:rsid w:val="725A43E3"/>
    <w:rsid w:val="725E36DA"/>
    <w:rsid w:val="727E7F9B"/>
    <w:rsid w:val="727F52EE"/>
    <w:rsid w:val="727F538C"/>
    <w:rsid w:val="728125E5"/>
    <w:rsid w:val="72813B00"/>
    <w:rsid w:val="7287676D"/>
    <w:rsid w:val="72A729F3"/>
    <w:rsid w:val="72BD6D9C"/>
    <w:rsid w:val="72CE0A5D"/>
    <w:rsid w:val="73054E67"/>
    <w:rsid w:val="7316297B"/>
    <w:rsid w:val="731C4556"/>
    <w:rsid w:val="732C1B03"/>
    <w:rsid w:val="7344086C"/>
    <w:rsid w:val="73513B98"/>
    <w:rsid w:val="7355616B"/>
    <w:rsid w:val="7356030D"/>
    <w:rsid w:val="73590919"/>
    <w:rsid w:val="736F34E2"/>
    <w:rsid w:val="73834A99"/>
    <w:rsid w:val="73896D9C"/>
    <w:rsid w:val="739B00D2"/>
    <w:rsid w:val="73BC1C41"/>
    <w:rsid w:val="73C271AE"/>
    <w:rsid w:val="73CC35A5"/>
    <w:rsid w:val="73DE500B"/>
    <w:rsid w:val="73F85DA5"/>
    <w:rsid w:val="73FA66CC"/>
    <w:rsid w:val="7416774D"/>
    <w:rsid w:val="74196632"/>
    <w:rsid w:val="74225D91"/>
    <w:rsid w:val="742901F3"/>
    <w:rsid w:val="7457217E"/>
    <w:rsid w:val="746134DA"/>
    <w:rsid w:val="747061A7"/>
    <w:rsid w:val="74722AA3"/>
    <w:rsid w:val="74803418"/>
    <w:rsid w:val="74812DCB"/>
    <w:rsid w:val="74853554"/>
    <w:rsid w:val="74946622"/>
    <w:rsid w:val="74A6200B"/>
    <w:rsid w:val="74AE7557"/>
    <w:rsid w:val="74B24E0F"/>
    <w:rsid w:val="74BE0F50"/>
    <w:rsid w:val="74C06DF5"/>
    <w:rsid w:val="74E83ED8"/>
    <w:rsid w:val="74EC23DE"/>
    <w:rsid w:val="75087AE2"/>
    <w:rsid w:val="75197E2A"/>
    <w:rsid w:val="752C7CDC"/>
    <w:rsid w:val="752F5414"/>
    <w:rsid w:val="753B0ED3"/>
    <w:rsid w:val="753C6311"/>
    <w:rsid w:val="75405800"/>
    <w:rsid w:val="754604C6"/>
    <w:rsid w:val="754D4D4A"/>
    <w:rsid w:val="75523618"/>
    <w:rsid w:val="75531507"/>
    <w:rsid w:val="7555223E"/>
    <w:rsid w:val="756834E7"/>
    <w:rsid w:val="75707527"/>
    <w:rsid w:val="75795080"/>
    <w:rsid w:val="758929A9"/>
    <w:rsid w:val="758D7434"/>
    <w:rsid w:val="759641FA"/>
    <w:rsid w:val="759D32DD"/>
    <w:rsid w:val="759D7007"/>
    <w:rsid w:val="75B956F8"/>
    <w:rsid w:val="75C71EA7"/>
    <w:rsid w:val="75C80FC4"/>
    <w:rsid w:val="75CB1342"/>
    <w:rsid w:val="75D36AE0"/>
    <w:rsid w:val="75EB0FC0"/>
    <w:rsid w:val="75FF6A4C"/>
    <w:rsid w:val="76067F33"/>
    <w:rsid w:val="760B3EE3"/>
    <w:rsid w:val="76137201"/>
    <w:rsid w:val="763F5D9C"/>
    <w:rsid w:val="76557F75"/>
    <w:rsid w:val="765A1679"/>
    <w:rsid w:val="765D28AE"/>
    <w:rsid w:val="76760A7E"/>
    <w:rsid w:val="768227B2"/>
    <w:rsid w:val="76850719"/>
    <w:rsid w:val="76870D1A"/>
    <w:rsid w:val="768A022F"/>
    <w:rsid w:val="76943E36"/>
    <w:rsid w:val="76A32A83"/>
    <w:rsid w:val="76C84418"/>
    <w:rsid w:val="76D1290F"/>
    <w:rsid w:val="76D2317A"/>
    <w:rsid w:val="76E36065"/>
    <w:rsid w:val="76E37615"/>
    <w:rsid w:val="77011896"/>
    <w:rsid w:val="772C2081"/>
    <w:rsid w:val="7732005C"/>
    <w:rsid w:val="77324797"/>
    <w:rsid w:val="77516C53"/>
    <w:rsid w:val="775338A3"/>
    <w:rsid w:val="77577CC5"/>
    <w:rsid w:val="77674B0C"/>
    <w:rsid w:val="776C0ED7"/>
    <w:rsid w:val="776E10F5"/>
    <w:rsid w:val="77766BD0"/>
    <w:rsid w:val="77974A19"/>
    <w:rsid w:val="77C72C8E"/>
    <w:rsid w:val="77DC1A6B"/>
    <w:rsid w:val="77FC3839"/>
    <w:rsid w:val="78077FF8"/>
    <w:rsid w:val="780D694A"/>
    <w:rsid w:val="78117C86"/>
    <w:rsid w:val="7816762F"/>
    <w:rsid w:val="7817385C"/>
    <w:rsid w:val="782D54DD"/>
    <w:rsid w:val="78522A1F"/>
    <w:rsid w:val="788560AF"/>
    <w:rsid w:val="78983621"/>
    <w:rsid w:val="789E1FD3"/>
    <w:rsid w:val="78B418C8"/>
    <w:rsid w:val="78C629E4"/>
    <w:rsid w:val="78CD1092"/>
    <w:rsid w:val="78D51D9E"/>
    <w:rsid w:val="78F45117"/>
    <w:rsid w:val="78F51ABE"/>
    <w:rsid w:val="790832B6"/>
    <w:rsid w:val="79093D5F"/>
    <w:rsid w:val="79107F95"/>
    <w:rsid w:val="79125747"/>
    <w:rsid w:val="791D55C8"/>
    <w:rsid w:val="792F023A"/>
    <w:rsid w:val="7930017F"/>
    <w:rsid w:val="793E6EEA"/>
    <w:rsid w:val="794A13B2"/>
    <w:rsid w:val="79516577"/>
    <w:rsid w:val="795644AF"/>
    <w:rsid w:val="7962316A"/>
    <w:rsid w:val="7970255A"/>
    <w:rsid w:val="79760DF7"/>
    <w:rsid w:val="798759BD"/>
    <w:rsid w:val="79A031EF"/>
    <w:rsid w:val="79B72126"/>
    <w:rsid w:val="79BB49AF"/>
    <w:rsid w:val="79BB65F5"/>
    <w:rsid w:val="79CB110B"/>
    <w:rsid w:val="79CF610D"/>
    <w:rsid w:val="79ED43ED"/>
    <w:rsid w:val="79F90F0C"/>
    <w:rsid w:val="79FF0921"/>
    <w:rsid w:val="7A0E06B9"/>
    <w:rsid w:val="7A2D015B"/>
    <w:rsid w:val="7A306CD9"/>
    <w:rsid w:val="7A35685A"/>
    <w:rsid w:val="7A3C4946"/>
    <w:rsid w:val="7A5105B3"/>
    <w:rsid w:val="7A5F6694"/>
    <w:rsid w:val="7A673743"/>
    <w:rsid w:val="7A6E2B96"/>
    <w:rsid w:val="7A6F5AB0"/>
    <w:rsid w:val="7A957BBF"/>
    <w:rsid w:val="7AA870A6"/>
    <w:rsid w:val="7AD11795"/>
    <w:rsid w:val="7AD7452B"/>
    <w:rsid w:val="7AD82574"/>
    <w:rsid w:val="7AF717FF"/>
    <w:rsid w:val="7B007AA5"/>
    <w:rsid w:val="7B077B00"/>
    <w:rsid w:val="7B1341C8"/>
    <w:rsid w:val="7B2C602F"/>
    <w:rsid w:val="7B3B21CC"/>
    <w:rsid w:val="7B3C49EC"/>
    <w:rsid w:val="7B513897"/>
    <w:rsid w:val="7B556115"/>
    <w:rsid w:val="7B5A21DE"/>
    <w:rsid w:val="7B60164D"/>
    <w:rsid w:val="7B904869"/>
    <w:rsid w:val="7BA00E79"/>
    <w:rsid w:val="7BA31946"/>
    <w:rsid w:val="7BB803EC"/>
    <w:rsid w:val="7BC6305A"/>
    <w:rsid w:val="7BC673DE"/>
    <w:rsid w:val="7BD15FAF"/>
    <w:rsid w:val="7BDE0FEB"/>
    <w:rsid w:val="7C0C6023"/>
    <w:rsid w:val="7C3C0F7D"/>
    <w:rsid w:val="7C3E180F"/>
    <w:rsid w:val="7C4237E6"/>
    <w:rsid w:val="7C441600"/>
    <w:rsid w:val="7C466EE0"/>
    <w:rsid w:val="7C7E0E3E"/>
    <w:rsid w:val="7C7E4288"/>
    <w:rsid w:val="7C807796"/>
    <w:rsid w:val="7C8C6545"/>
    <w:rsid w:val="7C9423F2"/>
    <w:rsid w:val="7CB01A21"/>
    <w:rsid w:val="7CC8438F"/>
    <w:rsid w:val="7CD16E50"/>
    <w:rsid w:val="7CDB0F09"/>
    <w:rsid w:val="7CDC3C21"/>
    <w:rsid w:val="7CE12EBE"/>
    <w:rsid w:val="7CFB33C3"/>
    <w:rsid w:val="7D01768F"/>
    <w:rsid w:val="7D0E0E76"/>
    <w:rsid w:val="7D131EF7"/>
    <w:rsid w:val="7D155CA0"/>
    <w:rsid w:val="7D234C28"/>
    <w:rsid w:val="7D283178"/>
    <w:rsid w:val="7D411440"/>
    <w:rsid w:val="7D4D0038"/>
    <w:rsid w:val="7D600B41"/>
    <w:rsid w:val="7D68705E"/>
    <w:rsid w:val="7D6F30D5"/>
    <w:rsid w:val="7D7D3B8D"/>
    <w:rsid w:val="7D865C86"/>
    <w:rsid w:val="7DAC1580"/>
    <w:rsid w:val="7DB74BB3"/>
    <w:rsid w:val="7DD9130A"/>
    <w:rsid w:val="7DF93522"/>
    <w:rsid w:val="7E194F62"/>
    <w:rsid w:val="7E1B361C"/>
    <w:rsid w:val="7E214FFE"/>
    <w:rsid w:val="7E275BA2"/>
    <w:rsid w:val="7E292BEF"/>
    <w:rsid w:val="7E2B780B"/>
    <w:rsid w:val="7E366A28"/>
    <w:rsid w:val="7E3B1B59"/>
    <w:rsid w:val="7E3B2710"/>
    <w:rsid w:val="7E3D50D7"/>
    <w:rsid w:val="7E426B56"/>
    <w:rsid w:val="7E4B0121"/>
    <w:rsid w:val="7E546892"/>
    <w:rsid w:val="7E577EF5"/>
    <w:rsid w:val="7E694AC3"/>
    <w:rsid w:val="7E7974FB"/>
    <w:rsid w:val="7E800F39"/>
    <w:rsid w:val="7E810C26"/>
    <w:rsid w:val="7EA0508C"/>
    <w:rsid w:val="7EB075D7"/>
    <w:rsid w:val="7EB87F84"/>
    <w:rsid w:val="7EBF5C3C"/>
    <w:rsid w:val="7EDA602D"/>
    <w:rsid w:val="7EE257F9"/>
    <w:rsid w:val="7EFB7A8F"/>
    <w:rsid w:val="7F073AB3"/>
    <w:rsid w:val="7F225F5C"/>
    <w:rsid w:val="7F2D32FF"/>
    <w:rsid w:val="7F3138E7"/>
    <w:rsid w:val="7F3D222F"/>
    <w:rsid w:val="7F561D21"/>
    <w:rsid w:val="7F5E083A"/>
    <w:rsid w:val="7F627567"/>
    <w:rsid w:val="7F657049"/>
    <w:rsid w:val="7F6B1113"/>
    <w:rsid w:val="7F832A4D"/>
    <w:rsid w:val="7F843D25"/>
    <w:rsid w:val="7FB50984"/>
    <w:rsid w:val="7FB87E83"/>
    <w:rsid w:val="7FBD7E07"/>
    <w:rsid w:val="7FE430CA"/>
    <w:rsid w:val="7FE44F2D"/>
    <w:rsid w:val="CFFF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仿宋_GB2312" w:hAnsi="Times New Roman" w:eastAsia="仿宋_GB2312" w:cs="Times New Roman"/>
      <w:kern w:val="2"/>
      <w:sz w:val="28"/>
      <w:szCs w:val="21"/>
      <w:lang w:val="en-US" w:eastAsia="zh-CN" w:bidi="ar-SA"/>
    </w:rPr>
  </w:style>
  <w:style w:type="paragraph" w:styleId="3">
    <w:name w:val="heading 1"/>
    <w:basedOn w:val="1"/>
    <w:next w:val="1"/>
    <w:link w:val="64"/>
    <w:qFormat/>
    <w:uiPriority w:val="99"/>
    <w:pPr>
      <w:keepNext/>
      <w:keepLines/>
      <w:spacing w:line="594" w:lineRule="exact"/>
      <w:jc w:val="center"/>
      <w:outlineLvl w:val="0"/>
    </w:pPr>
    <w:rPr>
      <w:rFonts w:ascii="方正小标宋简体" w:eastAsia="方正小标宋简体" w:cs="方正小标宋简体"/>
      <w:kern w:val="44"/>
      <w:sz w:val="44"/>
      <w:szCs w:val="44"/>
    </w:rPr>
  </w:style>
  <w:style w:type="paragraph" w:styleId="4">
    <w:name w:val="heading 2"/>
    <w:basedOn w:val="1"/>
    <w:next w:val="1"/>
    <w:link w:val="44"/>
    <w:qFormat/>
    <w:uiPriority w:val="99"/>
    <w:pPr>
      <w:spacing w:line="594" w:lineRule="exact"/>
      <w:ind w:firstLine="643" w:firstLineChars="200"/>
      <w:jc w:val="center"/>
      <w:outlineLvl w:val="1"/>
    </w:pPr>
    <w:rPr>
      <w:rFonts w:ascii="Times New Roman" w:eastAsia="楷体_GB2312" w:cs="方正黑体简体"/>
      <w:b/>
      <w:sz w:val="32"/>
      <w:szCs w:val="32"/>
    </w:rPr>
  </w:style>
  <w:style w:type="paragraph" w:styleId="2">
    <w:name w:val="heading 3"/>
    <w:basedOn w:val="1"/>
    <w:next w:val="1"/>
    <w:link w:val="53"/>
    <w:qFormat/>
    <w:uiPriority w:val="99"/>
    <w:pPr>
      <w:spacing w:line="594" w:lineRule="exact"/>
      <w:ind w:firstLine="546" w:firstLineChars="200"/>
      <w:outlineLvl w:val="2"/>
    </w:pPr>
    <w:rPr>
      <w:b/>
      <w:bCs/>
      <w:szCs w:val="32"/>
    </w:rPr>
  </w:style>
  <w:style w:type="paragraph" w:styleId="5">
    <w:name w:val="heading 4"/>
    <w:basedOn w:val="1"/>
    <w:next w:val="1"/>
    <w:link w:val="45"/>
    <w:qFormat/>
    <w:uiPriority w:val="99"/>
    <w:pPr>
      <w:spacing w:line="594" w:lineRule="exact"/>
      <w:ind w:firstLine="640" w:firstLineChars="200"/>
      <w:jc w:val="center"/>
      <w:outlineLvl w:val="3"/>
    </w:pPr>
    <w:rPr>
      <w:rFonts w:ascii="Times New Roman" w:eastAsia="黑体" w:cs="Cambria"/>
      <w:bCs/>
      <w:sz w:val="32"/>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60"/>
    </w:pPr>
    <w:rPr>
      <w:rFonts w:ascii="Calibri" w:hAnsi="Calibri" w:cs="Calibri"/>
      <w:sz w:val="18"/>
      <w:szCs w:val="18"/>
    </w:rPr>
  </w:style>
  <w:style w:type="paragraph" w:styleId="7">
    <w:name w:val="Normal Indent"/>
    <w:basedOn w:val="1"/>
    <w:qFormat/>
    <w:uiPriority w:val="0"/>
    <w:pPr>
      <w:adjustRightInd w:val="0"/>
      <w:snapToGrid w:val="0"/>
      <w:spacing w:before="60" w:after="60" w:line="440" w:lineRule="atLeast"/>
      <w:ind w:firstLine="480" w:firstLineChars="200"/>
    </w:pPr>
    <w:rPr>
      <w:rFonts w:asciiTheme="minorHAnsi" w:hAnsiTheme="minorHAnsi" w:cstheme="minorBidi"/>
      <w:sz w:val="24"/>
      <w:szCs w:val="24"/>
    </w:rPr>
  </w:style>
  <w:style w:type="paragraph" w:styleId="8">
    <w:name w:val="caption"/>
    <w:basedOn w:val="1"/>
    <w:next w:val="1"/>
    <w:qFormat/>
    <w:uiPriority w:val="99"/>
    <w:rPr>
      <w:rFonts w:ascii="Cambria" w:hAnsi="Cambria" w:eastAsia="黑体" w:cs="Cambria"/>
      <w:sz w:val="20"/>
      <w:szCs w:val="20"/>
    </w:rPr>
  </w:style>
  <w:style w:type="paragraph" w:styleId="9">
    <w:name w:val="annotation text"/>
    <w:basedOn w:val="1"/>
    <w:link w:val="49"/>
    <w:semiHidden/>
    <w:qFormat/>
    <w:uiPriority w:val="99"/>
    <w:rPr>
      <w:kern w:val="0"/>
      <w:sz w:val="24"/>
      <w:szCs w:val="24"/>
    </w:rPr>
  </w:style>
  <w:style w:type="paragraph" w:styleId="10">
    <w:name w:val="toc 5"/>
    <w:basedOn w:val="1"/>
    <w:next w:val="1"/>
    <w:semiHidden/>
    <w:qFormat/>
    <w:uiPriority w:val="99"/>
    <w:pPr>
      <w:ind w:left="840"/>
    </w:pPr>
    <w:rPr>
      <w:rFonts w:ascii="Calibri" w:hAnsi="Calibri" w:cs="Calibri"/>
      <w:sz w:val="18"/>
      <w:szCs w:val="18"/>
    </w:rPr>
  </w:style>
  <w:style w:type="paragraph" w:styleId="11">
    <w:name w:val="toc 3"/>
    <w:basedOn w:val="1"/>
    <w:next w:val="1"/>
    <w:qFormat/>
    <w:uiPriority w:val="39"/>
    <w:rPr>
      <w:rFonts w:hAnsi="仿宋_GB2312" w:cs="Calibri"/>
      <w:b/>
      <w:iCs/>
      <w:szCs w:val="20"/>
    </w:rPr>
  </w:style>
  <w:style w:type="paragraph" w:styleId="12">
    <w:name w:val="Plain Text"/>
    <w:basedOn w:val="1"/>
    <w:link w:val="61"/>
    <w:qFormat/>
    <w:uiPriority w:val="0"/>
    <w:rPr>
      <w:rFonts w:ascii="宋体" w:hAnsi="Courier New" w:cs="宋体"/>
      <w:kern w:val="0"/>
    </w:rPr>
  </w:style>
  <w:style w:type="paragraph" w:styleId="13">
    <w:name w:val="toc 8"/>
    <w:basedOn w:val="1"/>
    <w:next w:val="1"/>
    <w:semiHidden/>
    <w:qFormat/>
    <w:uiPriority w:val="99"/>
    <w:pPr>
      <w:ind w:left="1470"/>
    </w:pPr>
    <w:rPr>
      <w:rFonts w:ascii="Calibri" w:hAnsi="Calibri" w:cs="Calibri"/>
      <w:sz w:val="18"/>
      <w:szCs w:val="18"/>
    </w:rPr>
  </w:style>
  <w:style w:type="paragraph" w:styleId="14">
    <w:name w:val="Date"/>
    <w:basedOn w:val="1"/>
    <w:next w:val="1"/>
    <w:link w:val="55"/>
    <w:semiHidden/>
    <w:qFormat/>
    <w:uiPriority w:val="99"/>
    <w:pPr>
      <w:ind w:left="100" w:leftChars="2500"/>
    </w:pPr>
    <w:rPr>
      <w:sz w:val="24"/>
      <w:szCs w:val="24"/>
    </w:rPr>
  </w:style>
  <w:style w:type="paragraph" w:styleId="15">
    <w:name w:val="Balloon Text"/>
    <w:basedOn w:val="1"/>
    <w:link w:val="38"/>
    <w:semiHidden/>
    <w:qFormat/>
    <w:uiPriority w:val="99"/>
    <w:rPr>
      <w:rFonts w:ascii="Heiti SC Light" w:eastAsia="Times New Roman" w:cs="Heiti SC Light"/>
      <w:kern w:val="0"/>
      <w:sz w:val="18"/>
      <w:szCs w:val="18"/>
    </w:rPr>
  </w:style>
  <w:style w:type="paragraph" w:styleId="16">
    <w:name w:val="footer"/>
    <w:basedOn w:val="1"/>
    <w:link w:val="54"/>
    <w:qFormat/>
    <w:uiPriority w:val="99"/>
    <w:pPr>
      <w:tabs>
        <w:tab w:val="center" w:pos="4153"/>
        <w:tab w:val="right" w:pos="8306"/>
      </w:tabs>
      <w:snapToGrid w:val="0"/>
    </w:pPr>
    <w:rPr>
      <w:rFonts w:ascii="Calibri" w:hAnsi="Calibri" w:cs="Calibri"/>
      <w:kern w:val="0"/>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8">
    <w:name w:val="toc 1"/>
    <w:basedOn w:val="1"/>
    <w:next w:val="1"/>
    <w:qFormat/>
    <w:uiPriority w:val="39"/>
    <w:pPr>
      <w:tabs>
        <w:tab w:val="right" w:leader="dot" w:pos="8947"/>
      </w:tabs>
      <w:spacing w:before="120" w:line="400" w:lineRule="exact"/>
    </w:pPr>
    <w:rPr>
      <w:rFonts w:ascii="黑体" w:hAnsi="黑体" w:eastAsia="黑体" w:cs="黑体"/>
      <w:caps/>
      <w:sz w:val="32"/>
      <w:szCs w:val="32"/>
    </w:rPr>
  </w:style>
  <w:style w:type="paragraph" w:styleId="19">
    <w:name w:val="toc 4"/>
    <w:basedOn w:val="1"/>
    <w:next w:val="1"/>
    <w:qFormat/>
    <w:uiPriority w:val="39"/>
    <w:pPr>
      <w:ind w:left="630"/>
    </w:pPr>
    <w:rPr>
      <w:rFonts w:ascii="Calibri" w:hAnsi="Calibri" w:cs="Calibri"/>
      <w:sz w:val="18"/>
      <w:szCs w:val="18"/>
    </w:rPr>
  </w:style>
  <w:style w:type="paragraph" w:styleId="20">
    <w:name w:val="Subtitle"/>
    <w:basedOn w:val="1"/>
    <w:next w:val="1"/>
    <w:link w:val="60"/>
    <w:qFormat/>
    <w:uiPriority w:val="99"/>
    <w:pPr>
      <w:spacing w:line="594" w:lineRule="exact"/>
      <w:ind w:firstLine="200" w:firstLineChars="200"/>
      <w:outlineLvl w:val="1"/>
    </w:pPr>
    <w:rPr>
      <w:rFonts w:ascii="方正仿宋简体" w:hAnsi="Cambria" w:eastAsia="方正仿宋简体" w:cs="方正仿宋简体"/>
      <w:b/>
      <w:bCs/>
      <w:kern w:val="28"/>
      <w:sz w:val="32"/>
      <w:szCs w:val="32"/>
    </w:rPr>
  </w:style>
  <w:style w:type="paragraph" w:styleId="21">
    <w:name w:val="toc 6"/>
    <w:basedOn w:val="1"/>
    <w:next w:val="1"/>
    <w:semiHidden/>
    <w:qFormat/>
    <w:uiPriority w:val="99"/>
    <w:pPr>
      <w:ind w:left="1050"/>
    </w:pPr>
    <w:rPr>
      <w:rFonts w:ascii="Calibri" w:hAnsi="Calibri" w:cs="Calibri"/>
      <w:sz w:val="18"/>
      <w:szCs w:val="18"/>
    </w:rPr>
  </w:style>
  <w:style w:type="paragraph" w:styleId="22">
    <w:name w:val="toc 2"/>
    <w:basedOn w:val="1"/>
    <w:next w:val="1"/>
    <w:qFormat/>
    <w:uiPriority w:val="39"/>
    <w:pPr>
      <w:tabs>
        <w:tab w:val="right" w:leader="dot" w:pos="8947"/>
      </w:tabs>
      <w:spacing w:line="360" w:lineRule="exact"/>
      <w:ind w:left="210"/>
    </w:pPr>
    <w:rPr>
      <w:rFonts w:ascii="楷体_GB2312" w:hAnsi="Calibri" w:eastAsia="楷体_GB2312" w:cs="楷体_GB2312"/>
      <w:b/>
      <w:bCs/>
      <w:smallCaps/>
      <w:szCs w:val="28"/>
    </w:rPr>
  </w:style>
  <w:style w:type="paragraph" w:styleId="23">
    <w:name w:val="toc 9"/>
    <w:basedOn w:val="1"/>
    <w:next w:val="1"/>
    <w:semiHidden/>
    <w:qFormat/>
    <w:uiPriority w:val="99"/>
    <w:pPr>
      <w:ind w:left="1680"/>
    </w:pPr>
    <w:rPr>
      <w:rFonts w:ascii="Calibri" w:hAnsi="Calibri" w:cs="Calibri"/>
      <w:sz w:val="18"/>
      <w:szCs w:val="18"/>
    </w:rPr>
  </w:style>
  <w:style w:type="paragraph" w:styleId="24">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25">
    <w:name w:val="Title"/>
    <w:basedOn w:val="1"/>
    <w:next w:val="1"/>
    <w:link w:val="43"/>
    <w:qFormat/>
    <w:uiPriority w:val="99"/>
    <w:pPr>
      <w:spacing w:line="594" w:lineRule="exact"/>
      <w:ind w:firstLine="200" w:firstLineChars="200"/>
      <w:outlineLvl w:val="0"/>
    </w:pPr>
    <w:rPr>
      <w:rFonts w:ascii="方正楷体简体" w:hAnsi="Cambria" w:eastAsia="方正楷体简体" w:cs="方正楷体简体"/>
      <w:b/>
      <w:bCs/>
      <w:sz w:val="32"/>
      <w:szCs w:val="32"/>
    </w:rPr>
  </w:style>
  <w:style w:type="paragraph" w:styleId="26">
    <w:name w:val="annotation subject"/>
    <w:basedOn w:val="9"/>
    <w:next w:val="9"/>
    <w:link w:val="48"/>
    <w:semiHidden/>
    <w:qFormat/>
    <w:uiPriority w:val="99"/>
    <w:rPr>
      <w:b/>
      <w:bCs/>
    </w:rPr>
  </w:style>
  <w:style w:type="character" w:styleId="29">
    <w:name w:val="page number"/>
    <w:basedOn w:val="28"/>
    <w:qFormat/>
    <w:uiPriority w:val="99"/>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文件三级标题 Char"/>
    <w:link w:val="33"/>
    <w:qFormat/>
    <w:locked/>
    <w:uiPriority w:val="99"/>
    <w:rPr>
      <w:rFonts w:ascii="黑体" w:hAnsi="黑体" w:eastAsia="黑体" w:cs="黑体"/>
      <w:color w:val="000000"/>
      <w:kern w:val="2"/>
      <w:sz w:val="32"/>
      <w:szCs w:val="32"/>
    </w:rPr>
  </w:style>
  <w:style w:type="paragraph" w:customStyle="1" w:styleId="33">
    <w:name w:val="文件三级标题"/>
    <w:basedOn w:val="34"/>
    <w:link w:val="32"/>
    <w:qFormat/>
    <w:uiPriority w:val="99"/>
    <w:rPr>
      <w:rFonts w:ascii="黑体" w:hAnsi="黑体" w:eastAsia="黑体" w:cs="黑体"/>
    </w:rPr>
  </w:style>
  <w:style w:type="paragraph" w:customStyle="1" w:styleId="34">
    <w:name w:val="文件正文"/>
    <w:basedOn w:val="1"/>
    <w:link w:val="42"/>
    <w:qFormat/>
    <w:uiPriority w:val="99"/>
    <w:pPr>
      <w:spacing w:line="560" w:lineRule="exact"/>
      <w:ind w:firstLine="624" w:firstLineChars="200"/>
    </w:pPr>
    <w:rPr>
      <w:color w:val="000000"/>
      <w:sz w:val="32"/>
      <w:szCs w:val="32"/>
    </w:rPr>
  </w:style>
  <w:style w:type="character" w:customStyle="1" w:styleId="35">
    <w:name w:val="文件一级标题 Char"/>
    <w:link w:val="36"/>
    <w:qFormat/>
    <w:locked/>
    <w:uiPriority w:val="99"/>
    <w:rPr>
      <w:rFonts w:ascii="Times New Roman" w:hAnsi="Times New Roman" w:eastAsia="黑体" w:cs="Times New Roman"/>
      <w:color w:val="000000"/>
      <w:kern w:val="2"/>
      <w:sz w:val="32"/>
      <w:szCs w:val="32"/>
    </w:rPr>
  </w:style>
  <w:style w:type="paragraph" w:customStyle="1" w:styleId="36">
    <w:name w:val="文件一级标题"/>
    <w:basedOn w:val="1"/>
    <w:link w:val="35"/>
    <w:qFormat/>
    <w:uiPriority w:val="99"/>
    <w:pPr>
      <w:spacing w:line="560" w:lineRule="exact"/>
      <w:ind w:firstLine="624" w:firstLineChars="200"/>
    </w:pPr>
    <w:rPr>
      <w:rFonts w:eastAsia="黑体"/>
      <w:color w:val="000000"/>
      <w:sz w:val="32"/>
      <w:szCs w:val="32"/>
    </w:rPr>
  </w:style>
  <w:style w:type="character" w:customStyle="1" w:styleId="37">
    <w:name w:val="正文文本 + 间距 0 pt"/>
    <w:qFormat/>
    <w:uiPriority w:val="99"/>
    <w:rPr>
      <w:rFonts w:ascii="黑体" w:hAnsi="黑体" w:eastAsia="黑体" w:cs="黑体"/>
      <w:color w:val="000000"/>
      <w:spacing w:val="0"/>
      <w:w w:val="100"/>
      <w:position w:val="0"/>
      <w:sz w:val="29"/>
      <w:szCs w:val="29"/>
      <w:u w:val="none"/>
      <w:shd w:val="clear" w:color="auto" w:fill="FFFFFF"/>
      <w:lang w:val="zh-TW"/>
    </w:rPr>
  </w:style>
  <w:style w:type="character" w:customStyle="1" w:styleId="38">
    <w:name w:val="批注框文本 Char"/>
    <w:link w:val="15"/>
    <w:semiHidden/>
    <w:qFormat/>
    <w:locked/>
    <w:uiPriority w:val="99"/>
    <w:rPr>
      <w:rFonts w:ascii="Heiti SC Light" w:hAnsi="Times New Roman" w:eastAsia="Times New Roman" w:cs="Heiti SC Light"/>
      <w:sz w:val="18"/>
      <w:szCs w:val="18"/>
    </w:rPr>
  </w:style>
  <w:style w:type="character" w:customStyle="1" w:styleId="39">
    <w:name w:val="正文文本 + 间距 3 pt"/>
    <w:qFormat/>
    <w:uiPriority w:val="99"/>
    <w:rPr>
      <w:rFonts w:ascii="黑体" w:hAnsi="黑体" w:eastAsia="黑体" w:cs="黑体"/>
      <w:color w:val="000000"/>
      <w:spacing w:val="70"/>
      <w:w w:val="100"/>
      <w:position w:val="0"/>
      <w:sz w:val="29"/>
      <w:szCs w:val="29"/>
      <w:u w:val="none"/>
      <w:shd w:val="clear" w:color="auto" w:fill="FFFFFF"/>
      <w:lang w:val="zh-TW"/>
    </w:rPr>
  </w:style>
  <w:style w:type="character" w:customStyle="1" w:styleId="40">
    <w:name w:val="文件大标题 Char"/>
    <w:link w:val="41"/>
    <w:qFormat/>
    <w:locked/>
    <w:uiPriority w:val="99"/>
    <w:rPr>
      <w:rFonts w:ascii="Times New Roman" w:hAnsi="Times New Roman" w:eastAsia="方正小标宋简体" w:cs="Times New Roman"/>
      <w:kern w:val="2"/>
      <w:sz w:val="44"/>
      <w:szCs w:val="44"/>
    </w:rPr>
  </w:style>
  <w:style w:type="paragraph" w:customStyle="1" w:styleId="41">
    <w:name w:val="文件大标题"/>
    <w:basedOn w:val="1"/>
    <w:link w:val="40"/>
    <w:qFormat/>
    <w:uiPriority w:val="99"/>
    <w:pPr>
      <w:spacing w:line="560" w:lineRule="exact"/>
      <w:jc w:val="center"/>
    </w:pPr>
    <w:rPr>
      <w:rFonts w:eastAsia="方正小标宋简体"/>
      <w:sz w:val="44"/>
      <w:szCs w:val="44"/>
    </w:rPr>
  </w:style>
  <w:style w:type="character" w:customStyle="1" w:styleId="42">
    <w:name w:val="文件正文 Char"/>
    <w:link w:val="34"/>
    <w:qFormat/>
    <w:locked/>
    <w:uiPriority w:val="99"/>
    <w:rPr>
      <w:rFonts w:ascii="Times New Roman" w:hAnsi="Times New Roman" w:eastAsia="仿宋_GB2312" w:cs="Times New Roman"/>
      <w:color w:val="000000"/>
      <w:kern w:val="2"/>
      <w:sz w:val="32"/>
      <w:szCs w:val="32"/>
    </w:rPr>
  </w:style>
  <w:style w:type="character" w:customStyle="1" w:styleId="43">
    <w:name w:val="标题 Char"/>
    <w:link w:val="25"/>
    <w:qFormat/>
    <w:locked/>
    <w:uiPriority w:val="99"/>
    <w:rPr>
      <w:rFonts w:ascii="方正楷体简体" w:hAnsi="Cambria" w:eastAsia="方正楷体简体" w:cs="方正楷体简体"/>
      <w:b/>
      <w:bCs/>
      <w:kern w:val="2"/>
      <w:sz w:val="32"/>
      <w:szCs w:val="32"/>
    </w:rPr>
  </w:style>
  <w:style w:type="character" w:customStyle="1" w:styleId="44">
    <w:name w:val="标题 2 Char"/>
    <w:link w:val="4"/>
    <w:qFormat/>
    <w:locked/>
    <w:uiPriority w:val="99"/>
    <w:rPr>
      <w:rFonts w:eastAsia="楷体_GB2312" w:cs="方正黑体简体"/>
      <w:b/>
      <w:kern w:val="2"/>
      <w:sz w:val="32"/>
      <w:szCs w:val="32"/>
    </w:rPr>
  </w:style>
  <w:style w:type="character" w:customStyle="1" w:styleId="45">
    <w:name w:val="标题 4 Char"/>
    <w:link w:val="5"/>
    <w:qFormat/>
    <w:locked/>
    <w:uiPriority w:val="99"/>
    <w:rPr>
      <w:rFonts w:eastAsia="黑体" w:cs="Cambria"/>
      <w:bCs/>
      <w:kern w:val="2"/>
      <w:sz w:val="32"/>
      <w:szCs w:val="28"/>
    </w:rPr>
  </w:style>
  <w:style w:type="character" w:customStyle="1" w:styleId="46">
    <w:name w:val="无间隔 Char"/>
    <w:link w:val="47"/>
    <w:qFormat/>
    <w:locked/>
    <w:uiPriority w:val="99"/>
    <w:rPr>
      <w:rFonts w:eastAsia="Microsoft YaHei UI"/>
      <w:sz w:val="22"/>
      <w:szCs w:val="22"/>
      <w:lang w:val="en-US" w:eastAsia="zh-CN"/>
    </w:rPr>
  </w:style>
  <w:style w:type="paragraph" w:styleId="47">
    <w:name w:val="No Spacing"/>
    <w:link w:val="46"/>
    <w:qFormat/>
    <w:uiPriority w:val="1"/>
    <w:rPr>
      <w:rFonts w:ascii="Calibri" w:hAnsi="Calibri" w:eastAsia="Microsoft YaHei UI" w:cs="Calibri"/>
      <w:sz w:val="22"/>
      <w:szCs w:val="22"/>
      <w:lang w:val="en-US" w:eastAsia="zh-CN" w:bidi="ar-SA"/>
    </w:rPr>
  </w:style>
  <w:style w:type="character" w:customStyle="1" w:styleId="48">
    <w:name w:val="批注主题 Char"/>
    <w:link w:val="26"/>
    <w:semiHidden/>
    <w:qFormat/>
    <w:locked/>
    <w:uiPriority w:val="99"/>
    <w:rPr>
      <w:rFonts w:ascii="Times New Roman" w:hAnsi="Times New Roman" w:eastAsia="宋体" w:cs="Times New Roman"/>
      <w:b/>
      <w:bCs/>
      <w:sz w:val="24"/>
      <w:szCs w:val="24"/>
    </w:rPr>
  </w:style>
  <w:style w:type="character" w:customStyle="1" w:styleId="49">
    <w:name w:val="批注文字 Char"/>
    <w:link w:val="9"/>
    <w:semiHidden/>
    <w:qFormat/>
    <w:locked/>
    <w:uiPriority w:val="99"/>
    <w:rPr>
      <w:rFonts w:ascii="Times New Roman" w:hAnsi="Times New Roman" w:eastAsia="宋体" w:cs="Times New Roman"/>
      <w:sz w:val="24"/>
      <w:szCs w:val="24"/>
    </w:rPr>
  </w:style>
  <w:style w:type="character" w:customStyle="1" w:styleId="50">
    <w:name w:val="页眉 Char"/>
    <w:link w:val="17"/>
    <w:qFormat/>
    <w:locked/>
    <w:uiPriority w:val="99"/>
    <w:rPr>
      <w:sz w:val="18"/>
      <w:szCs w:val="18"/>
    </w:rPr>
  </w:style>
  <w:style w:type="character" w:customStyle="1" w:styleId="51">
    <w:name w:val="文件落款单位 Char"/>
    <w:link w:val="52"/>
    <w:qFormat/>
    <w:locked/>
    <w:uiPriority w:val="99"/>
    <w:rPr>
      <w:rFonts w:ascii="Times New Roman" w:hAnsi="Times New Roman" w:eastAsia="仿宋_GB2312" w:cs="Times New Roman"/>
      <w:color w:val="000000"/>
      <w:sz w:val="32"/>
      <w:szCs w:val="32"/>
    </w:rPr>
  </w:style>
  <w:style w:type="paragraph" w:customStyle="1" w:styleId="52">
    <w:name w:val="文件落款单位"/>
    <w:basedOn w:val="1"/>
    <w:link w:val="51"/>
    <w:qFormat/>
    <w:uiPriority w:val="99"/>
    <w:pPr>
      <w:wordWrap w:val="0"/>
      <w:spacing w:line="560" w:lineRule="exact"/>
      <w:ind w:right="624" w:firstLine="312" w:firstLineChars="100"/>
    </w:pPr>
    <w:rPr>
      <w:color w:val="000000"/>
      <w:kern w:val="0"/>
      <w:sz w:val="32"/>
      <w:szCs w:val="32"/>
    </w:rPr>
  </w:style>
  <w:style w:type="character" w:customStyle="1" w:styleId="53">
    <w:name w:val="标题 3 Char"/>
    <w:link w:val="2"/>
    <w:qFormat/>
    <w:locked/>
    <w:uiPriority w:val="99"/>
    <w:rPr>
      <w:rFonts w:ascii="仿宋_GB2312" w:eastAsia="仿宋_GB2312"/>
      <w:b/>
      <w:bCs/>
      <w:kern w:val="2"/>
      <w:sz w:val="28"/>
      <w:szCs w:val="32"/>
    </w:rPr>
  </w:style>
  <w:style w:type="character" w:customStyle="1" w:styleId="54">
    <w:name w:val="页脚 Char"/>
    <w:link w:val="16"/>
    <w:qFormat/>
    <w:locked/>
    <w:uiPriority w:val="99"/>
    <w:rPr>
      <w:sz w:val="18"/>
      <w:szCs w:val="18"/>
    </w:rPr>
  </w:style>
  <w:style w:type="character" w:customStyle="1" w:styleId="55">
    <w:name w:val="日期 Char"/>
    <w:link w:val="14"/>
    <w:semiHidden/>
    <w:qFormat/>
    <w:locked/>
    <w:uiPriority w:val="99"/>
    <w:rPr>
      <w:rFonts w:ascii="Times New Roman" w:hAnsi="Times New Roman" w:cs="Times New Roman"/>
      <w:kern w:val="2"/>
      <w:sz w:val="24"/>
      <w:szCs w:val="24"/>
    </w:rPr>
  </w:style>
  <w:style w:type="character" w:customStyle="1" w:styleId="56">
    <w:name w:val="正文文本 + Batang"/>
    <w:qFormat/>
    <w:uiPriority w:val="99"/>
    <w:rPr>
      <w:rFonts w:ascii="Batang" w:hAnsi="Batang" w:eastAsia="Batang" w:cs="Batang"/>
      <w:color w:val="000000"/>
      <w:spacing w:val="-10"/>
      <w:w w:val="100"/>
      <w:position w:val="0"/>
      <w:sz w:val="27"/>
      <w:szCs w:val="27"/>
      <w:shd w:val="clear" w:color="auto" w:fill="FFFFFF"/>
      <w:lang w:val="zh-TW"/>
    </w:rPr>
  </w:style>
  <w:style w:type="character" w:customStyle="1" w:styleId="57">
    <w:name w:val="正文文本 + 15 pt"/>
    <w:qFormat/>
    <w:uiPriority w:val="99"/>
    <w:rPr>
      <w:rFonts w:ascii="黑体" w:hAnsi="黑体" w:eastAsia="黑体" w:cs="黑体"/>
      <w:b/>
      <w:bCs/>
      <w:color w:val="000000"/>
      <w:spacing w:val="30"/>
      <w:w w:val="100"/>
      <w:position w:val="0"/>
      <w:sz w:val="30"/>
      <w:szCs w:val="30"/>
      <w:shd w:val="clear" w:color="auto" w:fill="FFFFFF"/>
      <w:lang w:val="zh-TW"/>
    </w:rPr>
  </w:style>
  <w:style w:type="character" w:customStyle="1" w:styleId="58">
    <w:name w:val="文件落款日期 Char"/>
    <w:link w:val="59"/>
    <w:qFormat/>
    <w:locked/>
    <w:uiPriority w:val="99"/>
    <w:rPr>
      <w:rFonts w:ascii="Times New Roman" w:hAnsi="Times New Roman" w:eastAsia="仿宋_GB2312" w:cs="Times New Roman"/>
      <w:color w:val="000000"/>
      <w:sz w:val="32"/>
      <w:szCs w:val="32"/>
    </w:rPr>
  </w:style>
  <w:style w:type="paragraph" w:customStyle="1" w:styleId="59">
    <w:name w:val="文件落款日期"/>
    <w:basedOn w:val="1"/>
    <w:link w:val="58"/>
    <w:qFormat/>
    <w:uiPriority w:val="99"/>
    <w:pPr>
      <w:wordWrap w:val="0"/>
      <w:spacing w:line="560" w:lineRule="exact"/>
      <w:ind w:firstLine="624" w:firstLineChars="200"/>
      <w:jc w:val="right"/>
    </w:pPr>
    <w:rPr>
      <w:color w:val="000000"/>
      <w:kern w:val="0"/>
      <w:sz w:val="32"/>
      <w:szCs w:val="32"/>
    </w:rPr>
  </w:style>
  <w:style w:type="character" w:customStyle="1" w:styleId="60">
    <w:name w:val="副标题 Char"/>
    <w:link w:val="20"/>
    <w:qFormat/>
    <w:locked/>
    <w:uiPriority w:val="99"/>
    <w:rPr>
      <w:rFonts w:ascii="方正仿宋简体" w:hAnsi="Cambria" w:eastAsia="方正仿宋简体" w:cs="方正仿宋简体"/>
      <w:b/>
      <w:bCs/>
      <w:kern w:val="28"/>
      <w:sz w:val="32"/>
      <w:szCs w:val="32"/>
    </w:rPr>
  </w:style>
  <w:style w:type="character" w:customStyle="1" w:styleId="61">
    <w:name w:val="纯文本 Char"/>
    <w:link w:val="12"/>
    <w:qFormat/>
    <w:locked/>
    <w:uiPriority w:val="0"/>
    <w:rPr>
      <w:rFonts w:ascii="宋体" w:hAnsi="Courier New" w:eastAsia="宋体" w:cs="宋体"/>
      <w:sz w:val="21"/>
      <w:szCs w:val="21"/>
    </w:rPr>
  </w:style>
  <w:style w:type="character" w:customStyle="1" w:styleId="62">
    <w:name w:val="文件二级标题 Char"/>
    <w:link w:val="63"/>
    <w:qFormat/>
    <w:locked/>
    <w:uiPriority w:val="99"/>
    <w:rPr>
      <w:rFonts w:ascii="黑体" w:hAnsi="黑体" w:eastAsia="黑体" w:cs="黑体"/>
      <w:color w:val="000000"/>
      <w:kern w:val="2"/>
      <w:sz w:val="32"/>
      <w:szCs w:val="32"/>
    </w:rPr>
  </w:style>
  <w:style w:type="paragraph" w:customStyle="1" w:styleId="63">
    <w:name w:val="文件二级标题"/>
    <w:basedOn w:val="34"/>
    <w:link w:val="62"/>
    <w:qFormat/>
    <w:uiPriority w:val="99"/>
    <w:rPr>
      <w:rFonts w:ascii="黑体" w:hAnsi="黑体" w:eastAsia="黑体" w:cs="黑体"/>
    </w:rPr>
  </w:style>
  <w:style w:type="character" w:customStyle="1" w:styleId="64">
    <w:name w:val="标题 1 Char"/>
    <w:link w:val="3"/>
    <w:qFormat/>
    <w:locked/>
    <w:uiPriority w:val="99"/>
    <w:rPr>
      <w:rFonts w:ascii="方正小标宋简体" w:hAnsi="Times New Roman" w:eastAsia="方正小标宋简体" w:cs="方正小标宋简体"/>
      <w:kern w:val="44"/>
      <w:sz w:val="44"/>
      <w:szCs w:val="44"/>
    </w:rPr>
  </w:style>
  <w:style w:type="character" w:customStyle="1" w:styleId="65">
    <w:name w:val="正文文本_"/>
    <w:link w:val="66"/>
    <w:qFormat/>
    <w:locked/>
    <w:uiPriority w:val="99"/>
    <w:rPr>
      <w:rFonts w:ascii="黑体" w:hAnsi="黑体" w:eastAsia="黑体" w:cs="黑体"/>
      <w:spacing w:val="30"/>
      <w:sz w:val="29"/>
      <w:szCs w:val="29"/>
      <w:shd w:val="clear" w:color="auto" w:fill="FFFFFF"/>
    </w:rPr>
  </w:style>
  <w:style w:type="paragraph" w:customStyle="1" w:styleId="66">
    <w:name w:val="正文文本1"/>
    <w:basedOn w:val="1"/>
    <w:link w:val="65"/>
    <w:qFormat/>
    <w:uiPriority w:val="99"/>
    <w:pPr>
      <w:shd w:val="clear" w:color="auto" w:fill="FFFFFF"/>
      <w:spacing w:before="1200" w:after="1200" w:line="240" w:lineRule="atLeast"/>
    </w:pPr>
    <w:rPr>
      <w:rFonts w:ascii="黑体" w:hAnsi="黑体" w:eastAsia="黑体" w:cs="黑体"/>
      <w:spacing w:val="30"/>
      <w:kern w:val="0"/>
      <w:sz w:val="29"/>
      <w:szCs w:val="29"/>
    </w:rPr>
  </w:style>
  <w:style w:type="character" w:customStyle="1" w:styleId="67">
    <w:name w:val="正文文本 (2)_"/>
    <w:link w:val="68"/>
    <w:qFormat/>
    <w:locked/>
    <w:uiPriority w:val="99"/>
    <w:rPr>
      <w:rFonts w:ascii="黑体" w:hAnsi="黑体" w:eastAsia="黑体" w:cs="黑体"/>
      <w:b/>
      <w:bCs/>
      <w:spacing w:val="30"/>
      <w:sz w:val="30"/>
      <w:szCs w:val="30"/>
      <w:shd w:val="clear" w:color="auto" w:fill="FFFFFF"/>
    </w:rPr>
  </w:style>
  <w:style w:type="paragraph" w:customStyle="1" w:styleId="68">
    <w:name w:val="正文文本 (2)"/>
    <w:basedOn w:val="1"/>
    <w:link w:val="67"/>
    <w:qFormat/>
    <w:uiPriority w:val="99"/>
    <w:pPr>
      <w:shd w:val="clear" w:color="auto" w:fill="FFFFFF"/>
      <w:spacing w:before="840" w:line="590" w:lineRule="exact"/>
    </w:pPr>
    <w:rPr>
      <w:rFonts w:ascii="黑体" w:hAnsi="黑体" w:eastAsia="黑体" w:cs="黑体"/>
      <w:b/>
      <w:bCs/>
      <w:spacing w:val="30"/>
      <w:kern w:val="0"/>
      <w:sz w:val="30"/>
      <w:szCs w:val="30"/>
    </w:rPr>
  </w:style>
  <w:style w:type="paragraph" w:customStyle="1" w:styleId="6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TOC 标题1"/>
    <w:basedOn w:val="3"/>
    <w:next w:val="1"/>
    <w:qFormat/>
    <w:uiPriority w:val="99"/>
    <w:pPr>
      <w:widowControl/>
      <w:spacing w:before="480" w:line="276" w:lineRule="auto"/>
      <w:jc w:val="left"/>
      <w:outlineLvl w:val="9"/>
    </w:pPr>
    <w:rPr>
      <w:rFonts w:ascii="Cambria" w:hAnsi="Cambria" w:eastAsia="宋体" w:cs="Cambria"/>
      <w:b/>
      <w:bCs/>
      <w:color w:val="365F91"/>
      <w:kern w:val="0"/>
      <w:sz w:val="28"/>
      <w:szCs w:val="28"/>
    </w:rPr>
  </w:style>
  <w:style w:type="paragraph" w:customStyle="1" w:styleId="74">
    <w:name w:val="TOC 标题2"/>
    <w:basedOn w:val="3"/>
    <w:next w:val="1"/>
    <w:qFormat/>
    <w:uiPriority w:val="39"/>
    <w:pPr>
      <w:widowControl/>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75">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7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7">
    <w:name w:val="修订2"/>
    <w:hidden/>
    <w:semiHidden/>
    <w:qFormat/>
    <w:uiPriority w:val="99"/>
    <w:rPr>
      <w:rFonts w:ascii="仿宋_GB2312" w:hAnsi="Times New Roman" w:eastAsia="仿宋_GB2312" w:cs="Times New Roman"/>
      <w:kern w:val="2"/>
      <w:sz w:val="28"/>
      <w:szCs w:val="21"/>
      <w:lang w:val="en-US" w:eastAsia="zh-CN" w:bidi="ar-SA"/>
    </w:rPr>
  </w:style>
  <w:style w:type="paragraph" w:customStyle="1" w:styleId="78">
    <w:name w:val="修订3"/>
    <w:hidden/>
    <w:semiHidden/>
    <w:qFormat/>
    <w:uiPriority w:val="99"/>
    <w:rPr>
      <w:rFonts w:ascii="仿宋_GB2312" w:hAnsi="Times New Roman" w:eastAsia="仿宋_GB2312"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8.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宋体" panose="02010600030101010101" charset="-122"/>
                <a:ea typeface="宋体" panose="02010600030101010101" charset="-122"/>
              </a:rPr>
              <a:t>国家标准、行业标准、地方标准</a:t>
            </a:r>
            <a:endParaRPr lang="zh-CN" altLang="zh-CN" sz="1400">
              <a:effectLst/>
              <a:latin typeface="宋体" panose="02010600030101010101" charset="-122"/>
              <a:ea typeface="宋体" panose="02010600030101010101" charset="-122"/>
            </a:endParaRPr>
          </a:p>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宋体" panose="02010600030101010101" charset="-122"/>
                <a:ea typeface="宋体" panose="02010600030101010101" charset="-122"/>
              </a:rPr>
              <a:t>年度发布（备案）情况</a:t>
            </a:r>
            <a:endParaRPr lang="zh-CN" altLang="zh-CN" sz="1400">
              <a:effectLst/>
              <a:latin typeface="宋体" panose="02010600030101010101" charset="-122"/>
              <a:ea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国家标准</c:v>
                </c:pt>
                <c:pt idx="1">
                  <c:v>行业标准</c:v>
                </c:pt>
                <c:pt idx="2">
                  <c:v>地方标准</c:v>
                </c:pt>
              </c:strCache>
            </c:strRef>
          </c:cat>
          <c:val>
            <c:numRef>
              <c:f>Sheet1!$B$2:$B$4</c:f>
              <c:numCache>
                <c:formatCode>General</c:formatCode>
                <c:ptCount val="3"/>
                <c:pt idx="0">
                  <c:v>2021</c:v>
                </c:pt>
                <c:pt idx="1">
                  <c:v>4880</c:v>
                </c:pt>
                <c:pt idx="2">
                  <c:v>7238</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国家标准</c:v>
                </c:pt>
                <c:pt idx="1">
                  <c:v>行业标准</c:v>
                </c:pt>
                <c:pt idx="2">
                  <c:v>地方标准</c:v>
                </c:pt>
              </c:strCache>
            </c:strRef>
          </c:cat>
          <c:val>
            <c:numRef>
              <c:f>Sheet1!$C$2:$C$4</c:f>
              <c:numCache>
                <c:formatCode>General</c:formatCode>
                <c:ptCount val="3"/>
                <c:pt idx="0">
                  <c:v>2252</c:v>
                </c:pt>
                <c:pt idx="1">
                  <c:v>8105</c:v>
                </c:pt>
                <c:pt idx="2">
                  <c:v>8387</c:v>
                </c:pt>
              </c:numCache>
            </c:numRef>
          </c:val>
        </c:ser>
        <c:dLbls>
          <c:showLegendKey val="0"/>
          <c:showVal val="1"/>
          <c:showCatName val="0"/>
          <c:showSerName val="0"/>
          <c:showPercent val="0"/>
          <c:showBubbleSize val="0"/>
        </c:dLbls>
        <c:gapWidth val="219"/>
        <c:overlap val="-27"/>
        <c:axId val="857313496"/>
        <c:axId val="857313888"/>
      </c:barChart>
      <c:catAx>
        <c:axId val="85731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3888"/>
        <c:crosses val="autoZero"/>
        <c:auto val="1"/>
        <c:lblAlgn val="ctr"/>
        <c:lblOffset val="100"/>
        <c:noMultiLvlLbl val="0"/>
      </c:catAx>
      <c:valAx>
        <c:axId val="8573138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3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baseline="0">
                <a:effectLst/>
                <a:latin typeface="+mj-ea"/>
                <a:ea typeface="+mj-ea"/>
              </a:rPr>
              <a:t>团体标准年度发布数量</a:t>
            </a:r>
            <a:endParaRPr lang="zh-CN" altLang="zh-CN" sz="1400">
              <a:effectLst/>
              <a:latin typeface="+mj-ea"/>
              <a:ea typeface="+mj-ea"/>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社会团体年度注册数量</c:v>
                </c:pt>
              </c:strCache>
            </c:strRef>
          </c:tx>
          <c:spPr>
            <a:solidFill>
              <a:srgbClr val="0070C0"/>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6227</c:v>
                </c:pt>
                <c:pt idx="1">
                  <c:v>9155</c:v>
                </c:pt>
              </c:numCache>
            </c:numRef>
          </c:val>
        </c:ser>
        <c:dLbls>
          <c:showLegendKey val="0"/>
          <c:showVal val="0"/>
          <c:showCatName val="0"/>
          <c:showSerName val="0"/>
          <c:showPercent val="0"/>
          <c:showBubbleSize val="0"/>
        </c:dLbls>
        <c:gapWidth val="219"/>
        <c:overlap val="-27"/>
        <c:axId val="857314672"/>
        <c:axId val="857315064"/>
      </c:barChart>
      <c:catAx>
        <c:axId val="85731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57315064"/>
        <c:crosses val="autoZero"/>
        <c:auto val="1"/>
        <c:lblAlgn val="ctr"/>
        <c:lblOffset val="100"/>
        <c:noMultiLvlLbl val="0"/>
      </c:catAx>
      <c:valAx>
        <c:axId val="857315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4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社会团体年度注册数量</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963</c:v>
                </c:pt>
                <c:pt idx="1">
                  <c:v>1292</c:v>
                </c:pt>
              </c:numCache>
            </c:numRef>
          </c:val>
        </c:ser>
        <c:dLbls>
          <c:showLegendKey val="0"/>
          <c:showVal val="0"/>
          <c:showCatName val="0"/>
          <c:showSerName val="0"/>
          <c:showPercent val="0"/>
          <c:showBubbleSize val="0"/>
        </c:dLbls>
        <c:gapWidth val="219"/>
        <c:overlap val="-27"/>
        <c:axId val="857315848"/>
        <c:axId val="857316240"/>
      </c:barChart>
      <c:catAx>
        <c:axId val="857315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57316240"/>
        <c:crosses val="autoZero"/>
        <c:auto val="1"/>
        <c:lblAlgn val="ctr"/>
        <c:lblOffset val="100"/>
        <c:noMultiLvlLbl val="0"/>
      </c:catAx>
      <c:valAx>
        <c:axId val="85731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315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95223592334"/>
          <c:y val="0"/>
          <c:w val="0.422095793450347"/>
          <c:h val="0.834908573782493"/>
        </c:manualLayout>
      </c:layout>
      <c:doughnutChart>
        <c:varyColors val="1"/>
        <c:ser>
          <c:idx val="0"/>
          <c:order val="0"/>
          <c:tx>
            <c:strRef>
              <c:f>Sheet1!$B$1</c:f>
              <c:strCache>
                <c:ptCount val="1"/>
                <c:pt idx="0">
                  <c:v>标准数量</c:v>
                </c:pt>
              </c:strCache>
            </c:strRef>
          </c:tx>
          <c:spPr>
            <a:scene3d>
              <a:camera prst="orthographicFront"/>
              <a:lightRig rig="threePt" dir="t"/>
            </a:scene3d>
          </c:spPr>
          <c:explosion val="0"/>
          <c:dPt>
            <c:idx val="0"/>
            <c:bubble3D val="0"/>
            <c:spPr>
              <a:solidFill>
                <a:schemeClr val="accent6"/>
              </a:solidFill>
              <a:ln w="19040">
                <a:solidFill>
                  <a:schemeClr val="lt1"/>
                </a:solidFill>
              </a:ln>
              <a:effectLst/>
              <a:scene3d>
                <a:camera prst="orthographicFront"/>
                <a:lightRig rig="threePt" dir="t"/>
              </a:scene3d>
            </c:spPr>
          </c:dPt>
          <c:dPt>
            <c:idx val="1"/>
            <c:bubble3D val="0"/>
            <c:spPr>
              <a:solidFill>
                <a:schemeClr val="accent5"/>
              </a:solidFill>
              <a:ln w="19040">
                <a:solidFill>
                  <a:schemeClr val="lt1"/>
                </a:solidFill>
              </a:ln>
              <a:effectLst/>
              <a:scene3d>
                <a:camera prst="orthographicFront"/>
                <a:lightRig rig="threePt" dir="t"/>
              </a:scene3d>
            </c:spPr>
          </c:dPt>
          <c:dPt>
            <c:idx val="2"/>
            <c:bubble3D val="0"/>
            <c:spPr>
              <a:solidFill>
                <a:schemeClr val="accent4"/>
              </a:solidFill>
              <a:ln w="19040">
                <a:solidFill>
                  <a:schemeClr val="lt1"/>
                </a:solidFill>
              </a:ln>
              <a:effectLst/>
              <a:scene3d>
                <a:camera prst="orthographicFront"/>
                <a:lightRig rig="threePt" dir="t"/>
              </a:scene3d>
            </c:spPr>
          </c:dPt>
          <c:dPt>
            <c:idx val="3"/>
            <c:bubble3D val="0"/>
            <c:spPr>
              <a:solidFill>
                <a:schemeClr val="accent6">
                  <a:lumMod val="60000"/>
                </a:schemeClr>
              </a:solidFill>
              <a:ln w="19040">
                <a:solidFill>
                  <a:schemeClr val="lt1"/>
                </a:solidFill>
              </a:ln>
              <a:effectLst/>
              <a:scene3d>
                <a:camera prst="orthographicFront"/>
                <a:lightRig rig="threePt" dir="t"/>
              </a:scene3d>
            </c:spPr>
          </c:dPt>
          <c:dLbls>
            <c:dLbl>
              <c:idx val="0"/>
              <c:layout>
                <c:manualLayout>
                  <c:x val="0.129824561403509"/>
                  <c:y val="0.0140350877192982"/>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8205553253212"/>
                  <c:y val="0.0147418151678407"/>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5789473684211"/>
                  <c:y val="-0.00701754385964912"/>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50877192982456"/>
                  <c:y val="-0.0350877192982456"/>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ysClr val="windowText" lastClr="000000"/>
                    </a:solidFill>
                    <a:latin typeface="宋体" panose="02010600030101010101" charset="-122"/>
                    <a:ea typeface="宋体" panose="02010600030101010101" charset="-122"/>
                    <a:cs typeface="+mn-cs"/>
                  </a:defRPr>
                </a:pPr>
              </a:p>
            </c:txP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Sheet1!$A$2:$A$5</c:f>
              <c:strCache>
                <c:ptCount val="4"/>
                <c:pt idx="0">
                  <c:v>工业类</c:v>
                </c:pt>
                <c:pt idx="1">
                  <c:v>服务业类</c:v>
                </c:pt>
                <c:pt idx="2">
                  <c:v>社会事业类</c:v>
                </c:pt>
                <c:pt idx="3">
                  <c:v>农业类</c:v>
                </c:pt>
              </c:strCache>
            </c:strRef>
          </c:cat>
          <c:val>
            <c:numRef>
              <c:f>Sheet1!$B$2:$B$5</c:f>
              <c:numCache>
                <c:formatCode>General</c:formatCode>
                <c:ptCount val="4"/>
                <c:pt idx="0">
                  <c:v>10528</c:v>
                </c:pt>
                <c:pt idx="1">
                  <c:v>4568</c:v>
                </c:pt>
                <c:pt idx="2">
                  <c:v>3255</c:v>
                </c:pt>
                <c:pt idx="3">
                  <c:v>2999</c:v>
                </c:pt>
              </c:numCache>
            </c:numRef>
          </c:val>
        </c:ser>
        <c:dLbls>
          <c:showLegendKey val="0"/>
          <c:showVal val="0"/>
          <c:showCatName val="0"/>
          <c:showSerName val="0"/>
          <c:showPercent val="0"/>
          <c:showBubbleSize val="0"/>
          <c:showLeaderLines val="0"/>
        </c:dLbls>
        <c:firstSliceAng val="0"/>
        <c:holeSize val="50"/>
      </c:doughnutChart>
      <c:spPr>
        <a:noFill/>
        <a:ln w="25387">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年度公开标准数</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manualLayout>
                  <c:x val="0"/>
                  <c:y val="-0.0052631578947368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07703703703704"/>
                      <c:h val="0.173333333333333"/>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373131</c:v>
                </c:pt>
                <c:pt idx="1">
                  <c:v>446664</c:v>
                </c:pt>
              </c:numCache>
            </c:numRef>
          </c:val>
        </c:ser>
        <c:dLbls>
          <c:showLegendKey val="0"/>
          <c:showVal val="0"/>
          <c:showCatName val="0"/>
          <c:showSerName val="0"/>
          <c:showPercent val="0"/>
          <c:showBubbleSize val="0"/>
        </c:dLbls>
        <c:gapWidth val="219"/>
        <c:overlap val="-27"/>
        <c:axId val="885594296"/>
        <c:axId val="885594688"/>
      </c:barChart>
      <c:catAx>
        <c:axId val="88559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4688"/>
        <c:crosses val="autoZero"/>
        <c:auto val="1"/>
        <c:lblAlgn val="ctr"/>
        <c:lblOffset val="100"/>
        <c:noMultiLvlLbl val="0"/>
      </c:catAx>
      <c:valAx>
        <c:axId val="88559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4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涵盖产品种类</c:v>
                </c:pt>
              </c:strCache>
            </c:strRef>
          </c:tx>
          <c:spPr>
            <a:solidFill>
              <a:srgbClr val="4472C4"/>
            </a:solidFill>
            <a:ln>
              <a:noFill/>
            </a:ln>
            <a:effectLst/>
          </c:spPr>
          <c:invertIfNegative val="0"/>
          <c:dPt>
            <c:idx val="1"/>
            <c:invertIfNegative val="0"/>
            <c:bubble3D val="0"/>
            <c:spPr>
              <a:solidFill>
                <a:srgbClr val="ED7D31"/>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651795</c:v>
                </c:pt>
                <c:pt idx="1">
                  <c:v>742596</c:v>
                </c:pt>
              </c:numCache>
            </c:numRef>
          </c:val>
        </c:ser>
        <c:dLbls>
          <c:showLegendKey val="0"/>
          <c:showVal val="0"/>
          <c:showCatName val="0"/>
          <c:showSerName val="0"/>
          <c:showPercent val="0"/>
          <c:showBubbleSize val="0"/>
        </c:dLbls>
        <c:gapWidth val="219"/>
        <c:overlap val="-27"/>
        <c:axId val="885595472"/>
        <c:axId val="885595864"/>
      </c:barChart>
      <c:catAx>
        <c:axId val="88559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5864"/>
        <c:crosses val="autoZero"/>
        <c:auto val="1"/>
        <c:lblAlgn val="ctr"/>
        <c:lblOffset val="100"/>
        <c:noMultiLvlLbl val="0"/>
      </c:catAx>
      <c:valAx>
        <c:axId val="8855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595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国家级标准化试点示范建设项目数量</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358266305927094"/>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66857757076317"/>
                      <c:h val="0.19349089500193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31</c:v>
                </c:pt>
                <c:pt idx="1">
                  <c:v>23</c:v>
                </c:pt>
              </c:numCache>
            </c:numRef>
          </c:val>
        </c:ser>
        <c:dLbls>
          <c:showLegendKey val="0"/>
          <c:showVal val="0"/>
          <c:showCatName val="0"/>
          <c:showSerName val="0"/>
          <c:showPercent val="0"/>
          <c:showBubbleSize val="0"/>
        </c:dLbls>
        <c:gapWidth val="219"/>
        <c:overlap val="-27"/>
        <c:axId val="885596648"/>
        <c:axId val="885597040"/>
      </c:barChart>
      <c:catAx>
        <c:axId val="885596648"/>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85597040"/>
        <c:crosses val="autoZero"/>
        <c:auto val="1"/>
        <c:lblAlgn val="ctr"/>
        <c:lblOffset val="100"/>
        <c:noMultiLvlLbl val="0"/>
      </c:catAx>
      <c:valAx>
        <c:axId val="88559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885596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895223592334"/>
          <c:y val="0"/>
          <c:w val="0.422095793450347"/>
          <c:h val="0.834908573782493"/>
        </c:manualLayout>
      </c:layout>
      <c:doughnutChart>
        <c:varyColors val="1"/>
        <c:ser>
          <c:idx val="0"/>
          <c:order val="0"/>
          <c:tx>
            <c:strRef>
              <c:f>Sheet1!$B$1</c:f>
              <c:strCache>
                <c:ptCount val="1"/>
                <c:pt idx="0">
                  <c:v>标准数量</c:v>
                </c:pt>
              </c:strCache>
            </c:strRef>
          </c:tx>
          <c:spPr>
            <a:scene3d>
              <a:camera prst="orthographicFront"/>
              <a:lightRig rig="threePt" dir="t"/>
            </a:scene3d>
          </c:spPr>
          <c:explosion val="0"/>
          <c:dPt>
            <c:idx val="0"/>
            <c:bubble3D val="0"/>
            <c:spPr>
              <a:solidFill>
                <a:schemeClr val="accent6"/>
              </a:solidFill>
              <a:ln w="19040">
                <a:solidFill>
                  <a:schemeClr val="lt1"/>
                </a:solidFill>
              </a:ln>
              <a:effectLst/>
              <a:scene3d>
                <a:camera prst="orthographicFront"/>
                <a:lightRig rig="threePt" dir="t"/>
              </a:scene3d>
            </c:spPr>
          </c:dPt>
          <c:dPt>
            <c:idx val="1"/>
            <c:bubble3D val="0"/>
            <c:spPr>
              <a:solidFill>
                <a:schemeClr val="accent5"/>
              </a:solidFill>
              <a:ln w="19040">
                <a:solidFill>
                  <a:schemeClr val="lt1"/>
                </a:solidFill>
              </a:ln>
              <a:effectLst/>
              <a:scene3d>
                <a:camera prst="orthographicFront"/>
                <a:lightRig rig="threePt" dir="t"/>
              </a:scene3d>
            </c:spPr>
          </c:dPt>
          <c:dPt>
            <c:idx val="2"/>
            <c:bubble3D val="0"/>
            <c:spPr>
              <a:solidFill>
                <a:schemeClr val="accent4"/>
              </a:solidFill>
              <a:ln w="19040">
                <a:solidFill>
                  <a:schemeClr val="lt1"/>
                </a:solidFill>
              </a:ln>
              <a:effectLst/>
              <a:scene3d>
                <a:camera prst="orthographicFront"/>
                <a:lightRig rig="threePt" dir="t"/>
              </a:scene3d>
            </c:spPr>
          </c:dPt>
          <c:dPt>
            <c:idx val="3"/>
            <c:bubble3D val="0"/>
            <c:spPr>
              <a:solidFill>
                <a:schemeClr val="accent6">
                  <a:lumMod val="60000"/>
                </a:schemeClr>
              </a:solidFill>
              <a:ln w="19040">
                <a:solidFill>
                  <a:schemeClr val="lt1"/>
                </a:solidFill>
              </a:ln>
              <a:effectLst/>
              <a:scene3d>
                <a:camera prst="orthographicFront"/>
                <a:lightRig rig="threePt" dir="t"/>
              </a:scene3d>
            </c:spPr>
          </c:dPt>
          <c:dLbls>
            <c:dLbl>
              <c:idx val="0"/>
              <c:layout>
                <c:manualLayout>
                  <c:x val="0.118131769906471"/>
                  <c:y val="-0.100809488575499"/>
                </c:manualLayout>
              </c:layou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9924242424242"/>
                  <c:y val="-0.0255808995949691"/>
                </c:manualLayout>
              </c:layou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55766152295978"/>
                  <c:y val="-0.051161776236596"/>
                </c:manualLayout>
              </c:layou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8409090909091"/>
                  <c:y val="-0.115114048177361"/>
                </c:manualLayout>
              </c:layou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Sheet1!$A$2:$A$5</c:f>
              <c:strCache>
                <c:ptCount val="4"/>
                <c:pt idx="0">
                  <c:v>第一产业</c:v>
                </c:pt>
                <c:pt idx="1">
                  <c:v>第二产业</c:v>
                </c:pt>
                <c:pt idx="2">
                  <c:v>第三产业</c:v>
                </c:pt>
                <c:pt idx="3">
                  <c:v>社会公共事业</c:v>
                </c:pt>
              </c:strCache>
            </c:strRef>
          </c:cat>
          <c:val>
            <c:numRef>
              <c:f>Sheet1!$B$2:$B$5</c:f>
              <c:numCache>
                <c:formatCode>General</c:formatCode>
                <c:ptCount val="4"/>
                <c:pt idx="0">
                  <c:v>100</c:v>
                </c:pt>
                <c:pt idx="1">
                  <c:v>1018</c:v>
                </c:pt>
                <c:pt idx="2">
                  <c:v>178</c:v>
                </c:pt>
                <c:pt idx="3">
                  <c:v>34</c:v>
                </c:pt>
              </c:numCache>
            </c:numRef>
          </c:val>
        </c:ser>
        <c:dLbls>
          <c:showLegendKey val="0"/>
          <c:showVal val="1"/>
          <c:showCatName val="0"/>
          <c:showSerName val="0"/>
          <c:showPercent val="0"/>
          <c:showBubbleSize val="0"/>
          <c:showLeaderLines val="0"/>
        </c:dLbls>
        <c:firstSliceAng val="0"/>
        <c:holeSize val="50"/>
      </c:doughnutChart>
      <c:spPr>
        <a:noFill/>
        <a:ln w="25387">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国家级标准化试点示范建设项目数量</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358266305927094"/>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66857757076317"/>
                      <c:h val="0.193490895001937"/>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157</c:v>
                </c:pt>
                <c:pt idx="1">
                  <c:v>279</c:v>
                </c:pt>
              </c:numCache>
            </c:numRef>
          </c:val>
        </c:ser>
        <c:dLbls>
          <c:showLegendKey val="0"/>
          <c:showVal val="0"/>
          <c:showCatName val="0"/>
          <c:showSerName val="0"/>
          <c:showPercent val="0"/>
          <c:showBubbleSize val="0"/>
        </c:dLbls>
        <c:gapWidth val="219"/>
        <c:overlap val="-27"/>
        <c:axId val="709863456"/>
        <c:axId val="709863848"/>
      </c:barChart>
      <c:catAx>
        <c:axId val="70986345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09863848"/>
        <c:crosses val="autoZero"/>
        <c:auto val="1"/>
        <c:lblAlgn val="ctr"/>
        <c:lblOffset val="100"/>
        <c:noMultiLvlLbl val="0"/>
      </c:catAx>
      <c:valAx>
        <c:axId val="709863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09863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41</Pages>
  <Words>3461</Words>
  <Characters>19731</Characters>
  <Lines>164</Lines>
  <Paragraphs>46</Paragraphs>
  <TotalTime>40</TotalTime>
  <ScaleCrop>false</ScaleCrop>
  <LinksUpToDate>false</LinksUpToDate>
  <CharactersWithSpaces>23146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2021-07-09T16:56:00Z</dcterms:created>
  <dc:creator>王 亚洲</dc:creator>
  <cp:lastModifiedBy>成</cp:lastModifiedBy>
  <cp:lastPrinted>2020-06-11T15:45:00Z</cp:lastPrinted>
  <dcterms:modified xsi:type="dcterms:W3CDTF">2021-11-04T09:30:19Z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2AEB9CE538B84FE2A7F24AD4992E17F3</vt:lpwstr>
  </property>
</Properties>
</file>